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072"/>
      </w:tblGrid>
      <w:tr w:rsidR="003B1F5B" w:rsidRPr="003B1F5B" w:rsidTr="003B1F5B">
        <w:trPr>
          <w:trHeight w:val="31680"/>
          <w:tblCellSpacing w:w="0" w:type="dxa"/>
        </w:trPr>
        <w:tc>
          <w:tcPr>
            <w:tcW w:w="0" w:type="auto"/>
            <w:hideMark/>
          </w:tcPr>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9072"/>
            </w:tblGrid>
            <w:tr w:rsidR="003B1F5B" w:rsidRPr="003B1F5B">
              <w:trPr>
                <w:tblCellSpacing w:w="15"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82"/>
                  </w:tblGrid>
                  <w:tr w:rsidR="003B1F5B" w:rsidRPr="003B1F5B" w:rsidTr="004A48FE">
                    <w:trPr>
                      <w:tblCellSpacing w:w="15" w:type="dxa"/>
                      <w:jc w:val="center"/>
                    </w:trPr>
                    <w:tc>
                      <w:tcPr>
                        <w:tcW w:w="0" w:type="auto"/>
                        <w:vAlign w:val="center"/>
                      </w:tcPr>
                      <w:p w:rsidR="004A48FE" w:rsidRPr="004A48FE" w:rsidRDefault="00506E03" w:rsidP="00506E03">
                        <w:pPr>
                          <w:pStyle w:val="stbilgi"/>
                          <w:rPr>
                            <w:rFonts w:ascii="Times New Roman" w:eastAsia="Times New Roman" w:hAnsi="Times New Roman" w:cs="Times New Roman"/>
                            <w:sz w:val="18"/>
                            <w:szCs w:val="18"/>
                            <w:lang w:eastAsia="tr-TR"/>
                          </w:rPr>
                        </w:pPr>
                        <w:r>
                          <w:rPr>
                            <w:rFonts w:ascii="Times New Roman" w:eastAsia="Times New Roman" w:hAnsi="Times New Roman" w:cs="Times New Roman"/>
                            <w:sz w:val="18"/>
                            <w:szCs w:val="18"/>
                            <w:lang w:eastAsia="tr-TR"/>
                          </w:rPr>
                          <w:fldChar w:fldCharType="begin"/>
                        </w:r>
                        <w:r>
                          <w:rPr>
                            <w:rFonts w:ascii="Times New Roman" w:eastAsia="Times New Roman" w:hAnsi="Times New Roman" w:cs="Times New Roman"/>
                            <w:sz w:val="18"/>
                            <w:szCs w:val="18"/>
                            <w:lang w:eastAsia="tr-TR"/>
                          </w:rPr>
                          <w:instrText xml:space="preserve"> HYPERLINK "http://</w:instrText>
                        </w:r>
                        <w:r w:rsidRPr="00506E03">
                          <w:rPr>
                            <w:rFonts w:ascii="Times New Roman" w:eastAsia="Times New Roman" w:hAnsi="Times New Roman" w:cs="Times New Roman"/>
                            <w:sz w:val="18"/>
                            <w:szCs w:val="18"/>
                            <w:lang w:eastAsia="tr-TR"/>
                          </w:rPr>
                          <w:instrText>www.farukakcay.com.tr</w:instrText>
                        </w:r>
                        <w:r>
                          <w:rPr>
                            <w:rFonts w:ascii="Times New Roman" w:eastAsia="Times New Roman" w:hAnsi="Times New Roman" w:cs="Times New Roman"/>
                            <w:sz w:val="18"/>
                            <w:szCs w:val="18"/>
                            <w:lang w:eastAsia="tr-TR"/>
                          </w:rPr>
                          <w:instrText xml:space="preserve">" </w:instrText>
                        </w:r>
                        <w:r>
                          <w:rPr>
                            <w:rFonts w:ascii="Times New Roman" w:eastAsia="Times New Roman" w:hAnsi="Times New Roman" w:cs="Times New Roman"/>
                            <w:sz w:val="18"/>
                            <w:szCs w:val="18"/>
                            <w:lang w:eastAsia="tr-TR"/>
                          </w:rPr>
                          <w:fldChar w:fldCharType="separate"/>
                        </w:r>
                        <w:r w:rsidRPr="00813124">
                          <w:rPr>
                            <w:rStyle w:val="Kpr"/>
                            <w:rFonts w:ascii="Times New Roman" w:eastAsia="Times New Roman" w:hAnsi="Times New Roman" w:cs="Times New Roman"/>
                            <w:sz w:val="18"/>
                            <w:szCs w:val="18"/>
                            <w:lang w:eastAsia="tr-TR"/>
                          </w:rPr>
                          <w:t>www.farukakcay.com.tr</w:t>
                        </w:r>
                        <w:r>
                          <w:rPr>
                            <w:rFonts w:ascii="Times New Roman" w:eastAsia="Times New Roman" w:hAnsi="Times New Roman" w:cs="Times New Roman"/>
                            <w:sz w:val="18"/>
                            <w:szCs w:val="18"/>
                            <w:lang w:eastAsia="tr-TR"/>
                          </w:rPr>
                          <w:fldChar w:fldCharType="end"/>
                        </w:r>
                        <w:r>
                          <w:rPr>
                            <w:rFonts w:ascii="Times New Roman" w:eastAsia="Times New Roman" w:hAnsi="Times New Roman" w:cs="Times New Roman"/>
                            <w:sz w:val="18"/>
                            <w:szCs w:val="18"/>
                            <w:lang w:eastAsia="tr-TR"/>
                          </w:rPr>
                          <w:t xml:space="preserve"> </w:t>
                        </w:r>
                        <w:r w:rsidR="004A48FE" w:rsidRPr="004A48FE">
                          <w:rPr>
                            <w:rFonts w:ascii="Times New Roman" w:eastAsia="Times New Roman" w:hAnsi="Times New Roman" w:cs="Times New Roman"/>
                            <w:sz w:val="18"/>
                            <w:szCs w:val="18"/>
                            <w:lang w:eastAsia="tr-TR"/>
                          </w:rPr>
                          <w:t>Resmi Gazete Tarihi: 30.12.2013 Resmi Gazete Sayısı: 28867 Mükerrer</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BÜYÜK ENDÜSTRİYEL KAZALARIN ÖNLENMESİ VE ETKİLERİNİN AZALTILMASI HAKKINDA YÖNETMELİK</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 </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BİRİNCİ BÖLÜM</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Amaç, Kapsam, İstisnalar, Dayanak ve Tanımla</w:t>
                        </w:r>
                        <w:bookmarkStart w:id="0" w:name="_GoBack"/>
                        <w:bookmarkEnd w:id="0"/>
                        <w:r w:rsidRPr="004A48FE">
                          <w:rPr>
                            <w:rFonts w:ascii="Calibri" w:eastAsia="Times New Roman" w:hAnsi="Calibri" w:cs="Times New Roman"/>
                            <w:b/>
                            <w:bCs/>
                            <w:lang w:eastAsia="tr-TR"/>
                          </w:rPr>
                          <w:t>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Amaç</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w:t>
                        </w:r>
                        <w:r w:rsidRPr="004A48FE">
                          <w:rPr>
                            <w:rFonts w:ascii="Calibri" w:eastAsia="Times New Roman" w:hAnsi="Calibri" w:cs="Times New Roman"/>
                            <w:lang w:eastAsia="tr-TR"/>
                          </w:rPr>
                          <w:t> – (1) Bu Yönetmelik, tehlikeli maddeler bulunduran kuruluşlarda büyük endüstriyel kazaların önlenmesi ve muhtemel kazaların insanlara ve çevreye olan zararlarının en aza indirilmesi amacıyla, yüksek seviyede, etkili ve sürekli korumayı sağlamak için alınması gerekli önlemler ile ilgili usul ve esasları belirler.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Kapsam</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2</w:t>
                        </w:r>
                        <w:r w:rsidRPr="004A48FE">
                          <w:rPr>
                            <w:rFonts w:ascii="Calibri" w:eastAsia="Times New Roman" w:hAnsi="Calibri" w:cs="Times New Roman"/>
                            <w:lang w:eastAsia="tr-TR"/>
                          </w:rPr>
                          <w:t xml:space="preserve"> – (1) Bu Yönetmelik mevcut, bulundurulması muhtemel, endüstriyel bir kimyasal </w:t>
                        </w:r>
                        <w:proofErr w:type="gramStart"/>
                        <w:r w:rsidRPr="004A48FE">
                          <w:rPr>
                            <w:rFonts w:ascii="Calibri" w:eastAsia="Times New Roman" w:hAnsi="Calibri" w:cs="Times New Roman"/>
                            <w:lang w:eastAsia="tr-TR"/>
                          </w:rPr>
                          <w:t>prosesin</w:t>
                        </w:r>
                        <w:proofErr w:type="gramEnd"/>
                        <w:r w:rsidRPr="004A48FE">
                          <w:rPr>
                            <w:rFonts w:ascii="Calibri" w:eastAsia="Times New Roman" w:hAnsi="Calibri" w:cs="Times New Roman"/>
                            <w:lang w:eastAsia="tr-TR"/>
                          </w:rPr>
                          <w:t xml:space="preserve"> kontrol kaybı esnasında oluşması beklenen tehlikeli maddeleri Ek-1’in Bölüm 1 ve Bölüm 2’sinde belirtilen sınır değerlere eşit veya üzerindeki miktarlarda bulunduran alt ve üst seviyeli kuruluşlara uygulanır. Ancak; 11 inci, 12 </w:t>
                        </w:r>
                        <w:proofErr w:type="spellStart"/>
                        <w:r w:rsidRPr="004A48FE">
                          <w:rPr>
                            <w:rFonts w:ascii="Calibri" w:eastAsia="Times New Roman" w:hAnsi="Calibri" w:cs="Times New Roman"/>
                            <w:lang w:eastAsia="tr-TR"/>
                          </w:rPr>
                          <w:t>nci</w:t>
                        </w:r>
                        <w:proofErr w:type="spellEnd"/>
                        <w:r w:rsidRPr="004A48FE">
                          <w:rPr>
                            <w:rFonts w:ascii="Calibri" w:eastAsia="Times New Roman" w:hAnsi="Calibri" w:cs="Times New Roman"/>
                            <w:lang w:eastAsia="tr-TR"/>
                          </w:rPr>
                          <w:t xml:space="preserve">, 13 üncü, 14 üncü, 15 inci, 16 </w:t>
                        </w:r>
                        <w:proofErr w:type="spellStart"/>
                        <w:r w:rsidRPr="004A48FE">
                          <w:rPr>
                            <w:rFonts w:ascii="Calibri" w:eastAsia="Times New Roman" w:hAnsi="Calibri" w:cs="Times New Roman"/>
                            <w:lang w:eastAsia="tr-TR"/>
                          </w:rPr>
                          <w:t>ncı</w:t>
                        </w:r>
                        <w:proofErr w:type="spellEnd"/>
                        <w:r w:rsidRPr="004A48FE">
                          <w:rPr>
                            <w:rFonts w:ascii="Calibri" w:eastAsia="Times New Roman" w:hAnsi="Calibri" w:cs="Times New Roman"/>
                            <w:lang w:eastAsia="tr-TR"/>
                          </w:rPr>
                          <w:t xml:space="preserve"> ve 17 </w:t>
                        </w:r>
                        <w:proofErr w:type="spellStart"/>
                        <w:r w:rsidRPr="004A48FE">
                          <w:rPr>
                            <w:rFonts w:ascii="Calibri" w:eastAsia="Times New Roman" w:hAnsi="Calibri" w:cs="Times New Roman"/>
                            <w:lang w:eastAsia="tr-TR"/>
                          </w:rPr>
                          <w:t>nci</w:t>
                        </w:r>
                        <w:proofErr w:type="spellEnd"/>
                        <w:r w:rsidRPr="004A48FE">
                          <w:rPr>
                            <w:rFonts w:ascii="Calibri" w:eastAsia="Times New Roman" w:hAnsi="Calibri" w:cs="Times New Roman"/>
                            <w:lang w:eastAsia="tr-TR"/>
                          </w:rPr>
                          <w:t xml:space="preserve"> maddeler sadece üst seviyeli kuruluşlara uygulanır.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İstisnalar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3</w:t>
                        </w:r>
                        <w:r w:rsidRPr="004A48FE">
                          <w:rPr>
                            <w:rFonts w:ascii="Calibri" w:eastAsia="Times New Roman" w:hAnsi="Calibri" w:cs="Times New Roman"/>
                            <w:lang w:eastAsia="tr-TR"/>
                          </w:rPr>
                          <w:t> – (1) Bu Yönetmelik;</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Türk Silahlı Kuvvetlerindeki kıta, karargâh ve kurumlara,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İyonlaştırıcı radyasyon faaliyetlerine,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Ek-1 Bölüm 1 ve Bölüm 2’de belirtilen miktarda ve cinste tehlikeli madde bulundursalar dahi;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 Tehlikeli maddelerin bu Yönetmelikle kapsanan kuruluşların sınırlarının dışında karayolu, demiryolu, kıta içi suyolu, deniz veya hava yoluyla taşınmasına,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Tehlikeli maddelerin kuruluş sınırları dışında bir boru hattıyla taşınmasına,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ç) Madenlerde, taş ocaklarında ve sondaj kuyusu vasıtasıyla minerallerin ve hidrokarbon </w:t>
                        </w:r>
                        <w:proofErr w:type="gramStart"/>
                        <w:r w:rsidRPr="004A48FE">
                          <w:rPr>
                            <w:rFonts w:ascii="Calibri" w:eastAsia="Times New Roman" w:hAnsi="Calibri" w:cs="Times New Roman"/>
                            <w:lang w:eastAsia="tr-TR"/>
                          </w:rPr>
                          <w:t>bazlı</w:t>
                        </w:r>
                        <w:proofErr w:type="gramEnd"/>
                        <w:r w:rsidRPr="004A48FE">
                          <w:rPr>
                            <w:rFonts w:ascii="Calibri" w:eastAsia="Times New Roman" w:hAnsi="Calibri" w:cs="Times New Roman"/>
                            <w:lang w:eastAsia="tr-TR"/>
                          </w:rPr>
                          <w:t xml:space="preserve"> doğal maddelerin aranması ve çıkarılması faaliyetlerine,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d) Denizde, minerallerin ve hidrokarbon </w:t>
                        </w:r>
                        <w:proofErr w:type="gramStart"/>
                        <w:r w:rsidRPr="004A48FE">
                          <w:rPr>
                            <w:rFonts w:ascii="Calibri" w:eastAsia="Times New Roman" w:hAnsi="Calibri" w:cs="Times New Roman"/>
                            <w:lang w:eastAsia="tr-TR"/>
                          </w:rPr>
                          <w:t>bazlı</w:t>
                        </w:r>
                        <w:proofErr w:type="gramEnd"/>
                        <w:r w:rsidRPr="004A48FE">
                          <w:rPr>
                            <w:rFonts w:ascii="Calibri" w:eastAsia="Times New Roman" w:hAnsi="Calibri" w:cs="Times New Roman"/>
                            <w:lang w:eastAsia="tr-TR"/>
                          </w:rPr>
                          <w:t xml:space="preserve"> doğal maddelerin aranması, çıkarılması ve işlenmesi ile ilgili faaliyetlere,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e) Düzenli atık depolama sahalarına,</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uygulanmaz</w:t>
                        </w:r>
                        <w:proofErr w:type="gramEnd"/>
                        <w:r w:rsidRPr="004A48FE">
                          <w:rPr>
                            <w:rFonts w:ascii="Calibri" w:eastAsia="Times New Roman" w:hAnsi="Calibri" w:cs="Times New Roman"/>
                            <w:lang w:eastAsia="tr-TR"/>
                          </w:rPr>
                          <w:t>.</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Ancak bu Yönetmelik;</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Birinci fıkranın (c) bendinin (2) numaralı alt bendi kapsamında tehlikeli maddelerin pompalama istasyonlarındaki depolama faaliyetlerine,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b) Ek-1’de tanımlanan tehlikeli maddelerin kullanıldığı, birinci fıkranın (ç) bendi kapsamındaki minerallerin ve hidrokarbon </w:t>
                        </w:r>
                        <w:proofErr w:type="gramStart"/>
                        <w:r w:rsidRPr="004A48FE">
                          <w:rPr>
                            <w:rFonts w:ascii="Calibri" w:eastAsia="Times New Roman" w:hAnsi="Calibri" w:cs="Times New Roman"/>
                            <w:lang w:eastAsia="tr-TR"/>
                          </w:rPr>
                          <w:t>bazlı</w:t>
                        </w:r>
                        <w:proofErr w:type="gramEnd"/>
                        <w:r w:rsidRPr="004A48FE">
                          <w:rPr>
                            <w:rFonts w:ascii="Calibri" w:eastAsia="Times New Roman" w:hAnsi="Calibri" w:cs="Times New Roman"/>
                            <w:lang w:eastAsia="tr-TR"/>
                          </w:rPr>
                          <w:t xml:space="preserve"> doğal maddelerin işlenmesi ile ilgili faaliyetlere ve bu işlemlere ilişkin depolama faaliyetlerine,</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uygulanır</w:t>
                        </w:r>
                        <w:proofErr w:type="gramEnd"/>
                        <w:r w:rsidRPr="004A48FE">
                          <w:rPr>
                            <w:rFonts w:ascii="Calibri" w:eastAsia="Times New Roman" w:hAnsi="Calibri" w:cs="Times New Roman"/>
                            <w:lang w:eastAsia="tr-TR"/>
                          </w:rPr>
                          <w:t>.</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Dayanak</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4</w:t>
                        </w:r>
                        <w:r w:rsidRPr="004A48FE">
                          <w:rPr>
                            <w:rFonts w:ascii="Calibri" w:eastAsia="Times New Roman" w:hAnsi="Calibri" w:cs="Times New Roman"/>
                            <w:lang w:eastAsia="tr-TR"/>
                          </w:rPr>
                          <w:t> – (1) Bu Yönetmelik;</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a) </w:t>
                        </w:r>
                        <w:proofErr w:type="gramStart"/>
                        <w:r w:rsidRPr="004A48FE">
                          <w:rPr>
                            <w:rFonts w:ascii="Calibri" w:eastAsia="Times New Roman" w:hAnsi="Calibri" w:cs="Times New Roman"/>
                            <w:lang w:eastAsia="tr-TR"/>
                          </w:rPr>
                          <w:t>20/6/2012</w:t>
                        </w:r>
                        <w:proofErr w:type="gramEnd"/>
                        <w:r w:rsidRPr="004A48FE">
                          <w:rPr>
                            <w:rFonts w:ascii="Calibri" w:eastAsia="Times New Roman" w:hAnsi="Calibri" w:cs="Times New Roman"/>
                            <w:lang w:eastAsia="tr-TR"/>
                          </w:rPr>
                          <w:t xml:space="preserve"> tarihli ve 6331 sayılı İş Sağlığı ve Güvenliği Kanunu ve 9/8/1983 tarihli ve 2872 sayılı Çevre Kanunu ile 29/6/2011 tarihli ve 644 sayılı Çevre ve Şehircilik Bakanlığının Teşkilat ve Görevleri Hakkında Kanun Hükmünde Kararname ve 29/5/2009 tarihli ve 5902 sayılı Afet ve Acil Durum Yönetimi Başkanlığının Teşkilat ve Görevleri Hakkında Kanun hükümlerine dayanılarak,</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b) Avrupa Birliğinin </w:t>
                        </w:r>
                        <w:proofErr w:type="gramStart"/>
                        <w:r w:rsidRPr="004A48FE">
                          <w:rPr>
                            <w:rFonts w:ascii="Calibri" w:eastAsia="Times New Roman" w:hAnsi="Calibri" w:cs="Times New Roman"/>
                            <w:lang w:eastAsia="tr-TR"/>
                          </w:rPr>
                          <w:t>9/12/1996</w:t>
                        </w:r>
                        <w:proofErr w:type="gramEnd"/>
                        <w:r w:rsidRPr="004A48FE">
                          <w:rPr>
                            <w:rFonts w:ascii="Calibri" w:eastAsia="Times New Roman" w:hAnsi="Calibri" w:cs="Times New Roman"/>
                            <w:lang w:eastAsia="tr-TR"/>
                          </w:rPr>
                          <w:t xml:space="preserve"> tarihli ve 96/82/EC sayılı Konsey Direktifine paralel olarak,</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hazırlanmıştır</w:t>
                        </w:r>
                        <w:proofErr w:type="gramEnd"/>
                        <w:r w:rsidRPr="004A48FE">
                          <w:rPr>
                            <w:rFonts w:ascii="Calibri" w:eastAsia="Times New Roman" w:hAnsi="Calibri" w:cs="Times New Roman"/>
                            <w:lang w:eastAsia="tr-TR"/>
                          </w:rPr>
                          <w:t>.</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Tanımlar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5</w:t>
                        </w:r>
                        <w:r w:rsidRPr="004A48FE">
                          <w:rPr>
                            <w:rFonts w:ascii="Calibri" w:eastAsia="Times New Roman" w:hAnsi="Calibri" w:cs="Times New Roman"/>
                            <w:lang w:eastAsia="tr-TR"/>
                          </w:rPr>
                          <w:t> – (1) Bu Yönetmeliğin uygulanmasında;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a) Acil servis hizmetleri: Büyük endüstriyel kazalarda, kuruluşta ve civarında zararın en aza indirilmesindeki kolluk güçleri, itfaiye, ambulans, sahil güvenlik, sivil savunma ve arama-kurtarma </w:t>
                        </w:r>
                        <w:r w:rsidRPr="004A48FE">
                          <w:rPr>
                            <w:rFonts w:ascii="Calibri" w:eastAsia="Times New Roman" w:hAnsi="Calibri" w:cs="Times New Roman"/>
                            <w:lang w:eastAsia="tr-TR"/>
                          </w:rPr>
                          <w:lastRenderedPageBreak/>
                          <w:t>hizmetleri dâhil sağlık ve güvenlik hizmetlerini,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Alt seviyeli kuruluş: Ek-1’in Bölüm 1 ve Bölüm 2’sinde verilen tehlikeli madde listelerinde, Sütun 2’deki eşik değerlere eşit veya üzerinde, ancak Sütun 3’teki değerlerin altındaki miktarlarda tehlikeli madde bulunduran kuruluşu,</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Büyük endüstriyel kaza: Herhangi bir kuruluşun işletilmesi esnasında, kontrolsüz gelişmelerden kaynaklanan ve kuruluş içinde veya dışında çevre ve/veya insan sağlığı için anında veya daha sonra ciddi tehlikeye yol açabilen bir veya birden fazla tehlikeli maddenin sebep olduğu büyük bir yayılım, yangın veya patlama olayını,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ç) Depolama: Tehlikeli maddenin, güvenli bir yerde, gerekli şartlar sağlanmış olarak kontrol altında tutulması veya stokta bulundurulmasını,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d) Heyet: Güvenlik raporu incelemesi neticesinde yapılacak işlemlere karar veren iş sağlığı ve güvenliği yönünden teftişe yetkili en az üç iş müfettişinden oluşan heyeti,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e) İşletmeci: İşletme sahibi veya </w:t>
                        </w:r>
                        <w:proofErr w:type="gramStart"/>
                        <w:r w:rsidRPr="004A48FE">
                          <w:rPr>
                            <w:rFonts w:ascii="Calibri" w:eastAsia="Times New Roman" w:hAnsi="Calibri" w:cs="Times New Roman"/>
                            <w:lang w:eastAsia="tr-TR"/>
                          </w:rPr>
                          <w:t>20/6/2012</w:t>
                        </w:r>
                        <w:proofErr w:type="gramEnd"/>
                        <w:r w:rsidRPr="004A48FE">
                          <w:rPr>
                            <w:rFonts w:ascii="Calibri" w:eastAsia="Times New Roman" w:hAnsi="Calibri" w:cs="Times New Roman"/>
                            <w:lang w:eastAsia="tr-TR"/>
                          </w:rPr>
                          <w:t xml:space="preserve"> tarihli ve 6331 sayılı İş Sağlığı ve Güvenliği Kanununda belirtilen işveren tanımı kapsamında, bir kuruluşun veya tesisin işletilmesinden sorumlu ve/veya buradaki teknik işletme hakkında karar verici herhangi bir gerçek veya tüzel kişiyi,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f) Kantitatif risk değerlendirmesi: Sayısal tabanlı bilimsel metotlarla yapılan risk değerlendirme </w:t>
                        </w:r>
                        <w:proofErr w:type="gramStart"/>
                        <w:r w:rsidRPr="004A48FE">
                          <w:rPr>
                            <w:rFonts w:ascii="Calibri" w:eastAsia="Times New Roman" w:hAnsi="Calibri" w:cs="Times New Roman"/>
                            <w:lang w:eastAsia="tr-TR"/>
                          </w:rPr>
                          <w:t>metodolojisini</w:t>
                        </w:r>
                        <w:proofErr w:type="gramEnd"/>
                        <w:r w:rsidRPr="004A48FE">
                          <w:rPr>
                            <w:rFonts w:ascii="Calibri" w:eastAsia="Times New Roman" w:hAnsi="Calibri" w:cs="Times New Roman"/>
                            <w:lang w:eastAsia="tr-TR"/>
                          </w:rPr>
                          <w:t>,</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g) Komisyon: Güvenlik raporlarını incelemek üzere, iş sağlığı ve güvenliği yönünden teftişe yetkili en az üç iş müfettişinden oluşan komisyonu,</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ğ) Kuruluş: Karayolu, demiryolu veya kıta içi suyolu ile ayrılmış iki veya daha fazla alanın bir bütün olarak değerlendirildiği aynı yerleşkede yer alan ve aynı işletmecinin kontrolü altında bulunan ortak altyapı veya faaliyetler de dâhil olmak üzere, 6331 sayılı İş Sağlığı ve Güvenliği Kanununda belirtilen işyeri tanımı kapsamında, tehlikeli maddelerin bulunduğu bir veya daha fazla tesisin bulunduğu tüm alanı,</w:t>
                        </w:r>
                        <w:proofErr w:type="gramEnd"/>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h) Mümkün olan en yüksek önlem seviyesi: Kantitatif risk değerlendirmesi sonucuna göre senaryo edilen büyük kaza riskinin indirilmesi gereken frekans seviyesini,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ı) Risk: Tehlikeden kaynaklanacak kayıp, yaralanma, çevre kirliliği ya da başka zararlı sonuçların meydana gelme ihtimalini,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i) Tehlike: Kuruluşta var olan ya da dışarıdan gelebilecek, insanı, kuruluşu veya çevreyi etkileyebilecek zarar veya hasar verme potansiyelini,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j) Tehlikeli madde: Ek-1, Bölüm 1, Sütun1’de listelenen veya Ek-1, Bölüm 2, Sütun 1’de listelenen bir kategori içerisindeki hammadde, ürün, yan ürün, artık ve/veya ara ürün olarak mevcut olan veya endüstriyel bir kimyasal </w:t>
                        </w:r>
                        <w:proofErr w:type="gramStart"/>
                        <w:r w:rsidRPr="004A48FE">
                          <w:rPr>
                            <w:rFonts w:ascii="Calibri" w:eastAsia="Times New Roman" w:hAnsi="Calibri" w:cs="Times New Roman"/>
                            <w:lang w:eastAsia="tr-TR"/>
                          </w:rPr>
                          <w:t>prosesin</w:t>
                        </w:r>
                        <w:proofErr w:type="gramEnd"/>
                        <w:r w:rsidRPr="004A48FE">
                          <w:rPr>
                            <w:rFonts w:ascii="Calibri" w:eastAsia="Times New Roman" w:hAnsi="Calibri" w:cs="Times New Roman"/>
                            <w:lang w:eastAsia="tr-TR"/>
                          </w:rPr>
                          <w:t xml:space="preserve"> kontrol kaybı esnasında oluşabilecek bir maddeyi veya müstahzarı,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k) Tesis: Tehlikeli maddelerin kullanıldığı, işlendiği, üretildiği veya depolandığı bir kuruluş içerisindeki teknik ünite ve bu ünitenin işleyişi için gerekli olan teçhizat, yapılar, boru tesisatı, iş </w:t>
                        </w:r>
                        <w:proofErr w:type="gramStart"/>
                        <w:r w:rsidRPr="004A48FE">
                          <w:rPr>
                            <w:rFonts w:ascii="Calibri" w:eastAsia="Times New Roman" w:hAnsi="Calibri" w:cs="Times New Roman"/>
                            <w:lang w:eastAsia="tr-TR"/>
                          </w:rPr>
                          <w:t>ekipmanları</w:t>
                        </w:r>
                        <w:proofErr w:type="gramEnd"/>
                        <w:r w:rsidRPr="004A48FE">
                          <w:rPr>
                            <w:rFonts w:ascii="Calibri" w:eastAsia="Times New Roman" w:hAnsi="Calibri" w:cs="Times New Roman"/>
                            <w:lang w:eastAsia="tr-TR"/>
                          </w:rPr>
                          <w:t xml:space="preserve"> ile birime hizmet eden demiryolu rampa hatlarını, tersaneleri ve doldurma-boşaltma rıhtımlarını, platformlarını, şamandıra sistemlerini, yüzen veya sabit dalgakıranları, ambarları veya benzer yapıları,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l) Üst seviyeli kuruluş: Ek-1, Bölüm 1 ve Bölüm 2’de verilen tehlikeli madde listelerinde, Sütun 3’teki eşik değerlere eşit veya üzerindeki miktarlarda tehlikeli madde bulunduran kuruluşu,</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ifade</w:t>
                        </w:r>
                        <w:proofErr w:type="gramEnd"/>
                        <w:r w:rsidRPr="004A48FE">
                          <w:rPr>
                            <w:rFonts w:ascii="Calibri" w:eastAsia="Times New Roman" w:hAnsi="Calibri" w:cs="Times New Roman"/>
                            <w:lang w:eastAsia="tr-TR"/>
                          </w:rPr>
                          <w:t xml:space="preserve"> eder.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İKİNCİ BÖLÜM</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Genel Yükümlülükler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İşletmecinin genel yükümlülüğü</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6</w:t>
                        </w:r>
                        <w:r w:rsidRPr="004A48FE">
                          <w:rPr>
                            <w:rFonts w:ascii="Calibri" w:eastAsia="Times New Roman" w:hAnsi="Calibri" w:cs="Times New Roman"/>
                            <w:lang w:eastAsia="tr-TR"/>
                          </w:rPr>
                          <w:t> – (1) İşletmeci, büyük kazaları önlemek ve büyük bir kazanın meydana gelmesi durumunda, bunların etkilerini çevre ve insanlara en az zarar verecek şekilde sınırlamak için gerekli tüm tedbirleri almakla yükümlüdür.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İşletmecinin kuruluş dışındaki uzman kişi veya kurumlardan hizmet alması işletmecinin sorumluluklarını ortadan kaldırmaz.</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lastRenderedPageBreak/>
                          <w:t>Bildirimler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7</w:t>
                        </w:r>
                        <w:r w:rsidRPr="004A48FE">
                          <w:rPr>
                            <w:rFonts w:ascii="Calibri" w:eastAsia="Times New Roman" w:hAnsi="Calibri" w:cs="Times New Roman"/>
                            <w:lang w:eastAsia="tr-TR"/>
                          </w:rPr>
                          <w:t> – (1) Ek-1’in Bölüm 1 ve Bölüm 2’sinde belirtilen tehlikeli maddeleri bulunduran veya bulunduracak kuruluşun işletmecisi;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Faaliyet halindeki kuruluş için bu Yönetmeliğin yayımı tarihinden itibaren,</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Kuruluş faaliyete geçmeden önce,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Çevre ve Şehircilik Bakanlığının internet sayfasındaki özel program paketini kullanarak bildirimini yapar.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İşletmeci;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Beyan edilen tehlikeli maddelerin miktarında kuruluşun seviyesini etkileyecek bir değişiklik olması,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Beyan edilen tehlikeli maddelerin niteliğinde veya fiziki şeklinde değişiklik olması,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c) Uygulanan </w:t>
                        </w:r>
                        <w:proofErr w:type="gramStart"/>
                        <w:r w:rsidRPr="004A48FE">
                          <w:rPr>
                            <w:rFonts w:ascii="Calibri" w:eastAsia="Times New Roman" w:hAnsi="Calibri" w:cs="Times New Roman"/>
                            <w:lang w:eastAsia="tr-TR"/>
                          </w:rPr>
                          <w:t>proseslerde</w:t>
                        </w:r>
                        <w:proofErr w:type="gramEnd"/>
                        <w:r w:rsidRPr="004A48FE">
                          <w:rPr>
                            <w:rFonts w:ascii="Calibri" w:eastAsia="Times New Roman" w:hAnsi="Calibri" w:cs="Times New Roman"/>
                            <w:lang w:eastAsia="tr-TR"/>
                          </w:rPr>
                          <w:t xml:space="preserve"> değişiklik olması,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ç) Çevre ve Şehircilik Bakanlığına veya Çalışma ve Sosyal Güvenlik Bakanlığına verilen bilgilerde herhangi bir değişiklik olması,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d) Kuruluşun faaliyetine son vermesi veya devredilmesi,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hallerinde</w:t>
                        </w:r>
                        <w:proofErr w:type="gramEnd"/>
                        <w:r w:rsidRPr="004A48FE">
                          <w:rPr>
                            <w:rFonts w:ascii="Calibri" w:eastAsia="Times New Roman" w:hAnsi="Calibri" w:cs="Times New Roman"/>
                            <w:lang w:eastAsia="tr-TR"/>
                          </w:rPr>
                          <w:t xml:space="preserve"> yirmi iş günü içerisinde bildirimini günceller.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Kantitatif risk değerlendirmesi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8</w:t>
                        </w:r>
                        <w:r w:rsidRPr="004A48FE">
                          <w:rPr>
                            <w:rFonts w:ascii="Calibri" w:eastAsia="Times New Roman" w:hAnsi="Calibri" w:cs="Times New Roman"/>
                            <w:lang w:eastAsia="tr-TR"/>
                          </w:rPr>
                          <w:t xml:space="preserve"> – (1) Bu Yönetmelik kapsamındaki alt ve üst seviyeli kuruluşlarda büyük endüstriyel kaza tehlikelerinin belirlenmesi ve bu tehlikelerden kaynaklanacak risklerin değerlendirilmesi amacıyla </w:t>
                        </w:r>
                        <w:proofErr w:type="gramStart"/>
                        <w:r w:rsidRPr="004A48FE">
                          <w:rPr>
                            <w:rFonts w:ascii="Calibri" w:eastAsia="Times New Roman" w:hAnsi="Calibri" w:cs="Times New Roman"/>
                            <w:lang w:eastAsia="tr-TR"/>
                          </w:rPr>
                          <w:t>kantitatif</w:t>
                        </w:r>
                        <w:proofErr w:type="gramEnd"/>
                        <w:r w:rsidRPr="004A48FE">
                          <w:rPr>
                            <w:rFonts w:ascii="Calibri" w:eastAsia="Times New Roman" w:hAnsi="Calibri" w:cs="Times New Roman"/>
                            <w:lang w:eastAsia="tr-TR"/>
                          </w:rPr>
                          <w:t xml:space="preserve"> metotlarla risk değerlendirmesi yapılır.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Kantitatif risk değerlendirmesinde, büyük kazaya yol açabilecek tehlikeler ve aşağıda belirtilen hususlar dikkate alınır: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Tehlikeli kimyasalların sınıflandırılması, bu kimyasalların miktarları ve karşılıklı etkileşimleri.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b) Kimyasal </w:t>
                        </w:r>
                        <w:proofErr w:type="spellStart"/>
                        <w:r w:rsidRPr="004A48FE">
                          <w:rPr>
                            <w:rFonts w:ascii="Calibri" w:eastAsia="Times New Roman" w:hAnsi="Calibri" w:cs="Times New Roman"/>
                            <w:lang w:eastAsia="tr-TR"/>
                          </w:rPr>
                          <w:t>maruziyetin</w:t>
                        </w:r>
                        <w:proofErr w:type="spellEnd"/>
                        <w:r w:rsidRPr="004A48FE">
                          <w:rPr>
                            <w:rFonts w:ascii="Calibri" w:eastAsia="Times New Roman" w:hAnsi="Calibri" w:cs="Times New Roman"/>
                            <w:lang w:eastAsia="tr-TR"/>
                          </w:rPr>
                          <w:t xml:space="preserve"> insan ve/veya çevre açısından değerlendirilmesi.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c) Patlayıcı ortamlar ve bu ortamların kalıcılığı, patlayıcı ortam sınıflandırması ve bu alanlarda kullanılacak </w:t>
                        </w:r>
                        <w:proofErr w:type="gramStart"/>
                        <w:r w:rsidRPr="004A48FE">
                          <w:rPr>
                            <w:rFonts w:ascii="Calibri" w:eastAsia="Times New Roman" w:hAnsi="Calibri" w:cs="Times New Roman"/>
                            <w:lang w:eastAsia="tr-TR"/>
                          </w:rPr>
                          <w:t>ekipmanların</w:t>
                        </w:r>
                        <w:proofErr w:type="gramEnd"/>
                        <w:r w:rsidRPr="004A48FE">
                          <w:rPr>
                            <w:rFonts w:ascii="Calibri" w:eastAsia="Times New Roman" w:hAnsi="Calibri" w:cs="Times New Roman"/>
                            <w:lang w:eastAsia="tr-TR"/>
                          </w:rPr>
                          <w:t xml:space="preserve"> uygunluğu.</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ç) Proses içerisindeki tehlikeli </w:t>
                        </w:r>
                        <w:proofErr w:type="gramStart"/>
                        <w:r w:rsidRPr="004A48FE">
                          <w:rPr>
                            <w:rFonts w:ascii="Calibri" w:eastAsia="Times New Roman" w:hAnsi="Calibri" w:cs="Times New Roman"/>
                            <w:lang w:eastAsia="tr-TR"/>
                          </w:rPr>
                          <w:t>ekipmanların</w:t>
                        </w:r>
                        <w:proofErr w:type="gramEnd"/>
                        <w:r w:rsidRPr="004A48FE">
                          <w:rPr>
                            <w:rFonts w:ascii="Calibri" w:eastAsia="Times New Roman" w:hAnsi="Calibri" w:cs="Times New Roman"/>
                            <w:lang w:eastAsia="tr-TR"/>
                          </w:rPr>
                          <w:t xml:space="preserve"> belirlenmesi ve gruplandırılması.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d) Proses tehlikeleri ile </w:t>
                        </w:r>
                        <w:proofErr w:type="gramStart"/>
                        <w:r w:rsidRPr="004A48FE">
                          <w:rPr>
                            <w:rFonts w:ascii="Calibri" w:eastAsia="Times New Roman" w:hAnsi="Calibri" w:cs="Times New Roman"/>
                            <w:lang w:eastAsia="tr-TR"/>
                          </w:rPr>
                          <w:t>proses</w:t>
                        </w:r>
                        <w:proofErr w:type="gramEnd"/>
                        <w:r w:rsidRPr="004A48FE">
                          <w:rPr>
                            <w:rFonts w:ascii="Calibri" w:eastAsia="Times New Roman" w:hAnsi="Calibri" w:cs="Times New Roman"/>
                            <w:lang w:eastAsia="tr-TR"/>
                          </w:rPr>
                          <w:t xml:space="preserve"> ekipmanlarının ve/veya enstrümanlarının karşılıklı etkileşimleri.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e) Proses </w:t>
                        </w:r>
                        <w:proofErr w:type="gramStart"/>
                        <w:r w:rsidRPr="004A48FE">
                          <w:rPr>
                            <w:rFonts w:ascii="Calibri" w:eastAsia="Times New Roman" w:hAnsi="Calibri" w:cs="Times New Roman"/>
                            <w:lang w:eastAsia="tr-TR"/>
                          </w:rPr>
                          <w:t>enstrümanlarının</w:t>
                        </w:r>
                        <w:proofErr w:type="gramEnd"/>
                        <w:r w:rsidRPr="004A48FE">
                          <w:rPr>
                            <w:rFonts w:ascii="Calibri" w:eastAsia="Times New Roman" w:hAnsi="Calibri" w:cs="Times New Roman"/>
                            <w:lang w:eastAsia="tr-TR"/>
                          </w:rPr>
                          <w:t xml:space="preserve"> ve acil durum kapatma sistemlerinin güvenilirlik değerlendirmesi ve sertifikasyonu.</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f) Bakım ve onarım işlerinde güvenilirlik verisi.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g) Güvenilirlik merkezli gerçekleştirilecek bakım ve risk temelli kontrol yöntemleri.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ğ) Büyük kaza senaryolarının kök neden ve sonuç analizi.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h) Geçmişte yaşanan kazalar ve bu kazaların nicel tekrarlanma olasılıkları.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ı) İnsan hataları ve güvenilirlik analizi.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(3) İşletmeci, </w:t>
                        </w:r>
                        <w:proofErr w:type="gramStart"/>
                        <w:r w:rsidRPr="004A48FE">
                          <w:rPr>
                            <w:rFonts w:ascii="Calibri" w:eastAsia="Times New Roman" w:hAnsi="Calibri" w:cs="Times New Roman"/>
                            <w:lang w:eastAsia="tr-TR"/>
                          </w:rPr>
                          <w:t>kantitatif</w:t>
                        </w:r>
                        <w:proofErr w:type="gramEnd"/>
                        <w:r w:rsidRPr="004A48FE">
                          <w:rPr>
                            <w:rFonts w:ascii="Calibri" w:eastAsia="Times New Roman" w:hAnsi="Calibri" w:cs="Times New Roman"/>
                            <w:lang w:eastAsia="tr-TR"/>
                          </w:rPr>
                          <w:t xml:space="preserve"> risk değerlendirmesinde kullandığı güvenilirlik verisi ile büyük kaza senaryolarında kullandığı olasılık verilerini, bakım kayıtları, kaza analizleri veya </w:t>
                        </w:r>
                        <w:proofErr w:type="spellStart"/>
                        <w:r w:rsidRPr="004A48FE">
                          <w:rPr>
                            <w:rFonts w:ascii="Calibri" w:eastAsia="Times New Roman" w:hAnsi="Calibri" w:cs="Times New Roman"/>
                            <w:lang w:eastAsia="tr-TR"/>
                          </w:rPr>
                          <w:t>enstrümantasyon</w:t>
                        </w:r>
                        <w:proofErr w:type="spellEnd"/>
                        <w:r w:rsidRPr="004A48FE">
                          <w:rPr>
                            <w:rFonts w:ascii="Calibri" w:eastAsia="Times New Roman" w:hAnsi="Calibri" w:cs="Times New Roman"/>
                            <w:lang w:eastAsia="tr-TR"/>
                          </w:rPr>
                          <w:t xml:space="preserve"> güvenlik sertifikasyonu gibi hangi veri bankalarından aldığı konusunda ayrıntılı bilgi verir.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(4) Üst seviyeli kuruluşun işletmecisi, hazırlanan risk değerlendirme belgelerini güvenlik raporuyla birlikte dijital ortamda Çalışma ve Sosyal Güvenlik Bakanlığına gönderir.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(5) Bu madde kapsamında yapılan risk değerlendirmesinde, </w:t>
                        </w:r>
                        <w:proofErr w:type="gramStart"/>
                        <w:r w:rsidRPr="004A48FE">
                          <w:rPr>
                            <w:rFonts w:ascii="Calibri" w:eastAsia="Times New Roman" w:hAnsi="Calibri" w:cs="Times New Roman"/>
                            <w:lang w:eastAsia="tr-TR"/>
                          </w:rPr>
                          <w:t>29/12/2012</w:t>
                        </w:r>
                        <w:proofErr w:type="gramEnd"/>
                        <w:r w:rsidRPr="004A48FE">
                          <w:rPr>
                            <w:rFonts w:ascii="Calibri" w:eastAsia="Times New Roman" w:hAnsi="Calibri" w:cs="Times New Roman"/>
                            <w:lang w:eastAsia="tr-TR"/>
                          </w:rPr>
                          <w:t xml:space="preserve"> tarihli ve 28512 sayılı Resmî </w:t>
                        </w:r>
                        <w:proofErr w:type="spellStart"/>
                        <w:r w:rsidRPr="004A48FE">
                          <w:rPr>
                            <w:rFonts w:ascii="Calibri" w:eastAsia="Times New Roman" w:hAnsi="Calibri" w:cs="Times New Roman"/>
                            <w:lang w:eastAsia="tr-TR"/>
                          </w:rPr>
                          <w:t>Gazete’de</w:t>
                        </w:r>
                        <w:proofErr w:type="spellEnd"/>
                        <w:r w:rsidRPr="004A48FE">
                          <w:rPr>
                            <w:rFonts w:ascii="Calibri" w:eastAsia="Times New Roman" w:hAnsi="Calibri" w:cs="Times New Roman"/>
                            <w:lang w:eastAsia="tr-TR"/>
                          </w:rPr>
                          <w:t xml:space="preserve"> yayımlanan İş Sağlığı ve Güvenliği Risk Değerlendirmesi Yönetmeliğinin, bu Yönetmeliğe aykırı olmayan hükümleri uygulanır.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Mümkün olan en yüksek önlem seviyesi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9</w:t>
                        </w:r>
                        <w:r w:rsidRPr="004A48FE">
                          <w:rPr>
                            <w:rFonts w:ascii="Calibri" w:eastAsia="Times New Roman" w:hAnsi="Calibri" w:cs="Times New Roman"/>
                            <w:lang w:eastAsia="tr-TR"/>
                          </w:rPr>
                          <w:t xml:space="preserve"> – (1) İşletmeci, </w:t>
                        </w:r>
                        <w:proofErr w:type="gramStart"/>
                        <w:r w:rsidRPr="004A48FE">
                          <w:rPr>
                            <w:rFonts w:ascii="Calibri" w:eastAsia="Times New Roman" w:hAnsi="Calibri" w:cs="Times New Roman"/>
                            <w:lang w:eastAsia="tr-TR"/>
                          </w:rPr>
                          <w:t>kantitatif</w:t>
                        </w:r>
                        <w:proofErr w:type="gramEnd"/>
                        <w:r w:rsidRPr="004A48FE">
                          <w:rPr>
                            <w:rFonts w:ascii="Calibri" w:eastAsia="Times New Roman" w:hAnsi="Calibri" w:cs="Times New Roman"/>
                            <w:lang w:eastAsia="tr-TR"/>
                          </w:rPr>
                          <w:t xml:space="preserve"> risk değerlendirmesine göre belirlediği tehlikeli ekipmanlar için senaryo edilen her bir büyük kazanın her türlü sonucunun meydana gelme frekansını 1x10-4/yıl seviyesine veya bu seviyeden daha küçük bir seviyeye indirmek zorundadır.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Büyük kaza önleme politika belgesi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10</w:t>
                        </w:r>
                        <w:r w:rsidRPr="004A48FE">
                          <w:rPr>
                            <w:rFonts w:ascii="Calibri" w:eastAsia="Times New Roman" w:hAnsi="Calibri" w:cs="Times New Roman"/>
                            <w:lang w:eastAsia="tr-TR"/>
                          </w:rPr>
                          <w:t xml:space="preserve"> – (1) Alt seviyeli kuruluşun işletmecisi, asgari olarak Ek-3’te belirtilen bilgileri </w:t>
                        </w:r>
                        <w:r w:rsidRPr="004A48FE">
                          <w:rPr>
                            <w:rFonts w:ascii="Calibri" w:eastAsia="Times New Roman" w:hAnsi="Calibri" w:cs="Times New Roman"/>
                            <w:lang w:eastAsia="tr-TR"/>
                          </w:rPr>
                          <w:lastRenderedPageBreak/>
                          <w:t>içerecek şekilde bu maddenin beşinci fıkrası uyarınca çıkarılacak tebliğdeki formatı ve formattaki bilgileri dikkate alarak kazaların önlenmesi ile ilgili politikasını belirten büyük kaza önleme politika belgesini hazırlar veya hazırlatır. İşletmeci bu belgeyi Çevre ve Şehircilik Bakanlığı bildirim sistemine yükler, aslını ise kuruluşta muhafaza eder.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Büyük kaza önleme politika belgesi;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Faaliyet halindeki kuruluşlar için bu maddenin yürürlüğe girmesini müteakiben 6 ay içerisinde,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Kuruluşun, bulundurduğu tehlikeli maddelerin cinsi ve/veya miktarındaki değişiklik nedeniyle alt seviyeli bir kuruluş haline gelmesi durumunda;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 Söz konusu değişiklik bu maddenin yürürlük tarihinden önce ise, yürürlük tarihini müteakip bir yıl içerisinde,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2) Söz konusu değişiklik yürürlük tarihinden sonra ise kapsama </w:t>
                        </w:r>
                        <w:proofErr w:type="gramStart"/>
                        <w:r w:rsidRPr="004A48FE">
                          <w:rPr>
                            <w:rFonts w:ascii="Calibri" w:eastAsia="Times New Roman" w:hAnsi="Calibri" w:cs="Times New Roman"/>
                            <w:lang w:eastAsia="tr-TR"/>
                          </w:rPr>
                          <w:t>dahil</w:t>
                        </w:r>
                        <w:proofErr w:type="gramEnd"/>
                        <w:r w:rsidRPr="004A48FE">
                          <w:rPr>
                            <w:rFonts w:ascii="Calibri" w:eastAsia="Times New Roman" w:hAnsi="Calibri" w:cs="Times New Roman"/>
                            <w:lang w:eastAsia="tr-TR"/>
                          </w:rPr>
                          <w:t xml:space="preserve"> olduğu tarihi müteakiben bir yıl içerisinde,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Diğer durumlarda faaliyete geçmeden önce,</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hazırlanır</w:t>
                        </w:r>
                        <w:proofErr w:type="gramEnd"/>
                        <w:r w:rsidRPr="004A48FE">
                          <w:rPr>
                            <w:rFonts w:ascii="Calibri" w:eastAsia="Times New Roman" w:hAnsi="Calibri" w:cs="Times New Roman"/>
                            <w:lang w:eastAsia="tr-TR"/>
                          </w:rPr>
                          <w:t>.</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(3) Büyük kaza önleme politika belgesi;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a) Kuruluşta büyük bir kazaya neden olabilecek; kazaya ramak kalma veya kullanılan </w:t>
                        </w:r>
                        <w:proofErr w:type="gramStart"/>
                        <w:r w:rsidRPr="004A48FE">
                          <w:rPr>
                            <w:rFonts w:ascii="Calibri" w:eastAsia="Times New Roman" w:hAnsi="Calibri" w:cs="Times New Roman"/>
                            <w:lang w:eastAsia="tr-TR"/>
                          </w:rPr>
                          <w:t>prosesin</w:t>
                        </w:r>
                        <w:proofErr w:type="gramEnd"/>
                        <w:r w:rsidRPr="004A48FE">
                          <w:rPr>
                            <w:rFonts w:ascii="Calibri" w:eastAsia="Times New Roman" w:hAnsi="Calibri" w:cs="Times New Roman"/>
                            <w:lang w:eastAsia="tr-TR"/>
                          </w:rPr>
                          <w:t>, mevcut tehlikeli maddelerin niteliğinin, miktarının veya depolama şeklinin değiştirilmesi,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Ek-3’te belirtilen güvenlik yönetim sisteminde bir değişiklik yapılması durumlarında,</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işletmeci</w:t>
                        </w:r>
                        <w:proofErr w:type="gramEnd"/>
                        <w:r w:rsidRPr="004A48FE">
                          <w:rPr>
                            <w:rFonts w:ascii="Calibri" w:eastAsia="Times New Roman" w:hAnsi="Calibri" w:cs="Times New Roman"/>
                            <w:lang w:eastAsia="tr-TR"/>
                          </w:rPr>
                          <w:t xml:space="preserve"> tarafından gözden geçirilir ve gerekirse güncellenir.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Kuruluşta yapılan güvenlik yönetim sisteminin denetimi esnasında kuruluşta uygulanan güvenlik yönetim sisteminin büyük kaza önleme politika belgesinde belirtilenden farklı olduğunun tespit edilmesi durumunda geciktirmeksizin, işletmeci tarafından gözden geçirilir ve güncellenir.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(4) İşletmeci hazırlanan büyük kaza önleme politika belgesinde belirtilen politikayı uygular.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(5) Çevre ve Şehircilik Bakanlığı ve Çalışma ve Sosyal Güvenlik Bakanlığı, büyük kaza önleme politika belgesi ile ilgili bir tebliğ yayımlar.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ÜÇÜNCÜ BÖLÜM</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Güvenlik Raporu ile İlgili Hususlar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Güvenlik raporu</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11</w:t>
                        </w:r>
                        <w:r w:rsidRPr="004A48FE">
                          <w:rPr>
                            <w:rFonts w:ascii="Calibri" w:eastAsia="Times New Roman" w:hAnsi="Calibri" w:cs="Times New Roman"/>
                            <w:lang w:eastAsia="tr-TR"/>
                          </w:rPr>
                          <w:t xml:space="preserve"> – (1) Üst seviyeli bir kuruluşun işletmecisi, asgari olarak Ek-2’de belirtilen bilgileri içermek kaydıyla bu maddenin on ikinci fıkrası uyarınca çıkarılacak tebliğdeki formatı ve formattaki bilgileri dikkate alarak bir güvenlik raporu hazırlar veya hazırlatır. Güvenlik raporu; kuruluşun, kuruluşun çevresinin, kuruluşta yürütülen faaliyetlerin ve </w:t>
                        </w:r>
                        <w:proofErr w:type="gramStart"/>
                        <w:r w:rsidRPr="004A48FE">
                          <w:rPr>
                            <w:rFonts w:ascii="Calibri" w:eastAsia="Times New Roman" w:hAnsi="Calibri" w:cs="Times New Roman"/>
                            <w:lang w:eastAsia="tr-TR"/>
                          </w:rPr>
                          <w:t>proseslerin</w:t>
                        </w:r>
                        <w:proofErr w:type="gramEnd"/>
                        <w:r w:rsidRPr="004A48FE">
                          <w:rPr>
                            <w:rFonts w:ascii="Calibri" w:eastAsia="Times New Roman" w:hAnsi="Calibri" w:cs="Times New Roman"/>
                            <w:lang w:eastAsia="tr-TR"/>
                          </w:rPr>
                          <w:t xml:space="preserve"> tanıtımının yapıldığı, Ek-3’te belirtilen ilkeleri içerecek şekilde kuruluşta uygulanan güvenlik yönetim sistemi ile ilgili bilgilerin ve işletmecinin taahhütlerinin bulunduğu bir belgedir.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İşletmeci güvenlik raporunu;</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Faaliyet halindeki kuruluşlar için bu maddenin yürürlüğe girmesini müteakiben 6 ay içerisinde,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Kuruluşun, bulundurduğu tehlikeli maddelerin cinsi ve/veya miktarındaki değişiklik nedeniyle üst seviyeli bir kuruluş haline gelmesi durumunda;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 Söz konusu değişiklik bu maddenin yürürlük tarihinden önce ise, yürürlük tarihini müteakip bir yıl içerisinde,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2) Söz konusu değişiklik bu maddenin yürürlük tarihinden sonra ise, kapsama </w:t>
                        </w:r>
                        <w:proofErr w:type="gramStart"/>
                        <w:r w:rsidRPr="004A48FE">
                          <w:rPr>
                            <w:rFonts w:ascii="Calibri" w:eastAsia="Times New Roman" w:hAnsi="Calibri" w:cs="Times New Roman"/>
                            <w:lang w:eastAsia="tr-TR"/>
                          </w:rPr>
                          <w:t>dahil</w:t>
                        </w:r>
                        <w:proofErr w:type="gramEnd"/>
                        <w:r w:rsidRPr="004A48FE">
                          <w:rPr>
                            <w:rFonts w:ascii="Calibri" w:eastAsia="Times New Roman" w:hAnsi="Calibri" w:cs="Times New Roman"/>
                            <w:lang w:eastAsia="tr-TR"/>
                          </w:rPr>
                          <w:t xml:space="preserve"> olduğu tarihi müteakiben bir yıl içerisinde,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Diğer durumlarda faaliyete geçmeden önce,</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hazırlar</w:t>
                        </w:r>
                        <w:proofErr w:type="gramEnd"/>
                        <w:r w:rsidRPr="004A48FE">
                          <w:rPr>
                            <w:rFonts w:ascii="Calibri" w:eastAsia="Times New Roman" w:hAnsi="Calibri" w:cs="Times New Roman"/>
                            <w:lang w:eastAsia="tr-TR"/>
                          </w:rPr>
                          <w:t xml:space="preserve"> ve Çalışma ve Sosyal Güvenlik Bakanlığına gönderir. Belirtilen sürelerde kuruluşa ait güvenlik raporunun mücbir nedenler haricinde Çalışma ve Sosyal Güvenlik Bakanlığına ulaşmaması halinde güvenlik raporunun olmadığı kabul edilir.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(3) Çevre ve Şehircilik Bakanlığınca uygun/olumlu görüş verilmeyen güvenlik raporları hakkında yeterlilik verilmez.</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lastRenderedPageBreak/>
                          <w:t>(4) Güvenlik raporunun içerik ve yeterlilik açısından incelenmesi;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Sadece, güvenlik raporunun bu maddenin on birinci fıkrası uyarınca çıkarılacak tebliğdeki formata uygun olup olmadığı ve söz konusu tebliğe göre kuruluş hakkında güvenlik raporunda istenen asgari bilginin bulunup bulunmadığının tespiti hakkında yapılan incelemedir,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Güvenlik raporunun ait olduğu kuruluşun, insan ve çevre açısından sağlığının ve güvenliğinin yeterliliği hakkında yapılan bir inceleme değildir,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Kuruluşta denetim yapılmaksızın gerçekleştirilir.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(5) Yeni kurulacak kuruluşun işletmecisi, kuruluşa ait güvenlik raporunda belirtilen bilginin içerik ve yeterlilik açısından incelenmesi işlemi sonuçlanıncaya kadar kuruluşu işletmeye açamaz.</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(6) Güvenlik raporunda belirtilen bilginin kuruluştaki durumu yansıtması esastır ve bu bilginin doğruluğundan işletmeci sorumludur. Güvenlik raporunun içerik ve yeterliliğinin incelenmesi, işletmeci tarafından sağlanan bilginin doğru olduğu varsayılarak yapılır.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(7) İşletmeci: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Güvenlik raporunu, güncellenen güvenlik raporunu veya güvenlik raporunda eksik bilgi tespit edilmesi halinde söz konusu eksik bilgiyi bu Yönetmelikte belirtilen süreler içerisinde Çalışma ve Sosyal Güvenlik Bakanlığına yazılı ve ıslak imzalı bir nüsha ve bu nüshanın dijital haldeki üç kopyası olarak gönderir.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Güvenlik raporunun Çalışma ve Sosyal Güvenlik Bakanlığınca yeterli bulunduğunun kendisine bildirilmesini müteakiben on iş günü içinde bildirim ve kayıt sistemine yükler.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(8) Çalışma ve Sosyal Güvenlik Bakanlığı;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Güvenlik raporunun tamamının incelendiği her durumda bu incelemeyi söz konusu raporun kendisine ulaşmasını müteakiben dört ay içerisinde,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İnceleme sonucu yeterli bulunmayan güvenlik raporuna ilişkin eksik bilginin incelenmesini ise söz konusu eksik bilginin kendisine ulaşmasını müteakiben bir ay içerisinde tamamlar.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(9) İşletmeci; güvenlik raporunun incelenmesi safhasında Çalışma ve Sosyal Güvenlik Bakanlığınca yazılı olarak ilâve bilgi talep edilmesi halinde gerekli bilgiyi sağlar.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(10) Güvenlik raporunun içerik ve yeterlilik açısından incelenmesi sonucunda, Çalışma ve Sosyal Güvenlik Bakanlığı tarafından;</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İnceleme sonucu, bu maddenin on ikinci fıkrası uyarınca çıkarılacak tebliğde belirtilen güvenlik raporu formatına uygun ve söz konusu tebliğe göre güvenlik raporunda istenen bilgisi tam olan güvenlik raporu yeterli bulunur. Bu durum işletmeciye bildirilir ve yeterli bulunan güvenlik raporu Çevre ve Şehircilik Bakanlığına ve İl Afet ve Acil Durum Müdürlüğüne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 xml:space="preserve">b) İnceleme sonucu, bu maddenin on ikinci fıkrası uyarınca çıkarılacak tebliğde belirtilen güvenlik raporu formatına uygun olmaması ve/veya söz konusu tebliğe göre güvenlik raporunda istenen bilgilerin tam olmaması halinde, inceleme işleminde tespit edilen format uygunsuzluğunun ve/veya bilgi eksikliğinin giderilmesi için işletmeciye altmışar iş günü olmak üzere en fazla iki defa süre verilir. </w:t>
                        </w:r>
                        <w:proofErr w:type="gramEnd"/>
                        <w:r w:rsidRPr="004A48FE">
                          <w:rPr>
                            <w:rFonts w:ascii="Calibri" w:eastAsia="Times New Roman" w:hAnsi="Calibri" w:cs="Times New Roman"/>
                            <w:lang w:eastAsia="tr-TR"/>
                          </w:rPr>
                          <w:t>İşletmeciye verilen her altmış iş günlük süre içerisinde işletmecinin, format uygunsuzluğunu ve/veya güvenlik raporundaki eksik bilgiyi gidererek eksik bilgiyi veya eksik bilgiyi de içeren güvenlik raporunun son halinin tümünü Bakanlığa ulaştırması zorunludur. Bu altmış iş günlük süreler, Çalışma ve Sosyal Güvenlik Bakanlığının işletmeciye yaptığı bildirimin tebligat tarihini izleyen günden itibaren işlemeye başlar. İşletmeciye verilen süre sonunda;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 Güvenlik raporunun incelenmesi sonucunda, işletmecinin format uygunsuzluğunu ve/veya bilgi eksikliğini giderdiğinin tespit edilmesi durumunda, güvenlik raporu yeterli bulunur. Bu durum işletmeciye bildirilir ve yeterli bulunan güvenlik raporu Çevre ve Şehircilik Bakanlığına ve İl Afet ve Acil Durum Müdürlüğüne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Çalışma ve Sosyal Güvenlik Bakanlığınca en fazla iki defa süre verilmesine rağmen güvenlik raporundaki format uygunsuzluğunun giderilmemesi, eksik bilginin gönderilmemesi veya gönderilen bilginin eksik olması durumunda, güvenlik raporu yetersiz bulunur ve kuruluşta iş tamamen durdurulur.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(11) İşletmeci tarafından kuruluşa ait güvenlik raporunun gönderilmemesi veya kuruluşun güvenlik raporunun olmadığının tespit edilmesi halinde, kuruluşta iş tamamen durdurulur.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lastRenderedPageBreak/>
                          <w:t>(12) Çalışma ve Sosyal Güvenlik Bakanlığı ve Çevre ve Şehircilik Bakanlığı güvenlik raporu ile ilgili bir tebliğ yayımlar.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Güvenlik raporunun güncellenmesi veya güncellenerek tekrar gönderilmesi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12</w:t>
                        </w:r>
                        <w:r w:rsidRPr="004A48FE">
                          <w:rPr>
                            <w:rFonts w:ascii="Calibri" w:eastAsia="Times New Roman" w:hAnsi="Calibri" w:cs="Times New Roman"/>
                            <w:lang w:eastAsia="tr-TR"/>
                          </w:rPr>
                          <w:t> – (1) Çalışma ve Sosyal Güvenlik Bakanlığınca 11 inci madde gereği yapılan inceleme sonucunda yeterli bulunan güvenlik raporu;</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Kuruluşta büyük endüstriyel kazaya neden olabilecek;</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 Kazaya ramak kalma,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2) Kullanılan </w:t>
                        </w:r>
                        <w:proofErr w:type="gramStart"/>
                        <w:r w:rsidRPr="004A48FE">
                          <w:rPr>
                            <w:rFonts w:ascii="Calibri" w:eastAsia="Times New Roman" w:hAnsi="Calibri" w:cs="Times New Roman"/>
                            <w:lang w:eastAsia="tr-TR"/>
                          </w:rPr>
                          <w:t>prosesin</w:t>
                        </w:r>
                        <w:proofErr w:type="gramEnd"/>
                        <w:r w:rsidRPr="004A48FE">
                          <w:rPr>
                            <w:rFonts w:ascii="Calibri" w:eastAsia="Times New Roman" w:hAnsi="Calibri" w:cs="Times New Roman"/>
                            <w:lang w:eastAsia="tr-TR"/>
                          </w:rPr>
                          <w:t>, mevcut tehlikeli maddelerin niteliğinin, miktarının veya depolama şeklinin değiştirilmesi halinde,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Ek-3’te belirtilen güvenlik yönetim sisteminde bir değişiklik yapılması durumlarında işletmeci tarafından tehlikeler değerlendirilerek gecikmeksizin,</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Kuruluşta yapılan güvenlik yönetim sisteminin denetimi esnasında, kuruluşa ait güvenlik raporunun veya güvenlik raporunun güncellenmesine ilişkin ek bilginin kuruluştaki durumu yansıtmadığının tespit edilmesi halinde,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işletmeci</w:t>
                        </w:r>
                        <w:proofErr w:type="gramEnd"/>
                        <w:r w:rsidRPr="004A48FE">
                          <w:rPr>
                            <w:rFonts w:ascii="Calibri" w:eastAsia="Times New Roman" w:hAnsi="Calibri" w:cs="Times New Roman"/>
                            <w:lang w:eastAsia="tr-TR"/>
                          </w:rPr>
                          <w:t xml:space="preserve"> tarafından gözden geçirilir ve güncellenir.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Bu maddenin birinci fıkrasında belirtilen hususlar sonucunda güvenlik raporunda güncelleme yapılması halinde, sadece güncellemeye ilişkin ek bilgi Çevre ve Şehircilik Bakanlığına ait kayıt ve bildirim sistemine yüklenir.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(3) İşletmeci güvenlik raporunu, birinci fıkrada belirtilen durumlarda yapılan güncellemeleri de kapsayacak şekilde, yeterli bulunduğu tarihten itibaren her beş yıllık süre içerisinde günceller ve beş yıllık sürenin bitiminden itibaren yirmi iş günü içinde Çalışma ve Sosyal Güvenlik Bakanlığına gönderir. Belirtilen sürede kuruluşa ait güvenlik raporunun mücbir nedenler haricinde Çalışma ve Sosyal Güvenlik Bakanlığına ulaşmaması halinde güvenlik raporunun olmadığı kabul edilir. Beş yıllık süre sonunda güncellenen güvenlik raporu hakkında 11 inci madde uyarınca işlem yapılır.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(4) İşletmeci tarafından güncellenen güvenlik raporu ile güvenlik raporunun güncellenmesine ilişkin ek bilginin kuruluştaki durumu yansıtması esastır ve bu bilginin doğruluğundan işletmeci sorumludur.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DÖRDÜNCÜ BÖLÜM</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Acil Durum Planları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Dâhili acil durum planı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13</w:t>
                        </w:r>
                        <w:r w:rsidRPr="004A48FE">
                          <w:rPr>
                            <w:rFonts w:ascii="Calibri" w:eastAsia="Times New Roman" w:hAnsi="Calibri" w:cs="Times New Roman"/>
                            <w:lang w:eastAsia="tr-TR"/>
                          </w:rPr>
                          <w:t> – (1) Üst seviyeli bir kuruluşun işletmecisi, asgari olarak Ek-4, Kısım 1 ve Kısım 2’de belirtilen bilgileri içermek kaydıyla, bu maddenin on ikinci fıkrası uyarınca çıkarılacak tebliğdeki formatı ve formattaki bilgileri dikkate alarak bir dâhili acil durum planı hazırlar veya hazırlatır.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İşletmeci, güvenlik raporunun içerik ve yeterlilik yönünden uygun bulunduğunun kendisine bildirilmesinden itibaren otuz iş günü içerisinde dâhili acil durum planını Çevre ve Şehircilik Bakanlığına gönderir. Belirtilen sürede kuruluşa ait acil durum planının Çevre ve Şehircilik Bakanlığına ulaşmaması halinde dâhili acil durum planının olmadığı kabul edilir.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 xml:space="preserve">(3) İşletmeci, dâhili acil durum planının hazırlanması konusunda 17 </w:t>
                        </w:r>
                        <w:proofErr w:type="spellStart"/>
                        <w:r w:rsidRPr="004A48FE">
                          <w:rPr>
                            <w:rFonts w:ascii="Calibri" w:eastAsia="Times New Roman" w:hAnsi="Calibri" w:cs="Times New Roman"/>
                            <w:lang w:eastAsia="tr-TR"/>
                          </w:rPr>
                          <w:t>nci</w:t>
                        </w:r>
                        <w:proofErr w:type="spellEnd"/>
                        <w:r w:rsidRPr="004A48FE">
                          <w:rPr>
                            <w:rFonts w:ascii="Calibri" w:eastAsia="Times New Roman" w:hAnsi="Calibri" w:cs="Times New Roman"/>
                            <w:lang w:eastAsia="tr-TR"/>
                          </w:rPr>
                          <w:t xml:space="preserve"> maddenin birinci fıkrasında belirtilen alanda yer alan tesis yetkilileri, acil servis hizmetlerini yürüten birimler, ilgili Valilik, kuruluşun Organize Sanayi Bölgesi içinde yer alması durumunda Organize Sanayi Bölgesi Müdürlüğü, kuruluşun Endüstri Bölgesi içinde yer alması durumunda Endüstri Bölgesi İşletme Müdürlüğü ile bilgi ve görüş alışverişinde bulunur.</w:t>
                        </w:r>
                        <w:proofErr w:type="gramEnd"/>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(4) Kuruluşta muhtemel bir kontrol kaybı sonrası kıyı ve/veya deniz kirliliği olasılığının öngörülmesi halinde, </w:t>
                        </w:r>
                        <w:proofErr w:type="gramStart"/>
                        <w:r w:rsidRPr="004A48FE">
                          <w:rPr>
                            <w:rFonts w:ascii="Calibri" w:eastAsia="Times New Roman" w:hAnsi="Calibri" w:cs="Times New Roman"/>
                            <w:lang w:eastAsia="tr-TR"/>
                          </w:rPr>
                          <w:t>21/10/2006</w:t>
                        </w:r>
                        <w:proofErr w:type="gramEnd"/>
                        <w:r w:rsidRPr="004A48FE">
                          <w:rPr>
                            <w:rFonts w:ascii="Calibri" w:eastAsia="Times New Roman" w:hAnsi="Calibri" w:cs="Times New Roman"/>
                            <w:lang w:eastAsia="tr-TR"/>
                          </w:rPr>
                          <w:t xml:space="preserve"> tarihli ve 26326 sayılı Resmî </w:t>
                        </w:r>
                        <w:proofErr w:type="spellStart"/>
                        <w:r w:rsidRPr="004A48FE">
                          <w:rPr>
                            <w:rFonts w:ascii="Calibri" w:eastAsia="Times New Roman" w:hAnsi="Calibri" w:cs="Times New Roman"/>
                            <w:lang w:eastAsia="tr-TR"/>
                          </w:rPr>
                          <w:t>Gazete’de</w:t>
                        </w:r>
                        <w:proofErr w:type="spellEnd"/>
                        <w:r w:rsidRPr="004A48FE">
                          <w:rPr>
                            <w:rFonts w:ascii="Calibri" w:eastAsia="Times New Roman" w:hAnsi="Calibri" w:cs="Times New Roman"/>
                            <w:lang w:eastAsia="tr-TR"/>
                          </w:rPr>
                          <w:t xml:space="preserve"> yayımlanan Deniz Çevresinin Petrol ve Diğer Zararlı Maddelerle Kirlenmesinde Acil Durumlarda Müdahale ve Zararların Tazmini Esaslarına Dair Kanunun Uygulama Yönetmeliğinin 23 üncü maddesinin üçüncü fıkrasına istinaden onaylanmış kıyı tesisi acil müdahale planları sadece kıyı ve/veya deniz kirliliğine müdahale etme bakımından geçerli sayılır. Kuruluşlar, bahse konu hususu dâhili acil durum planlarında belirtirler.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(5) Dâhili acil durum planları içerik ve yeterlilik açısından Çevre ve Şehircilik Bakanlığınca </w:t>
                        </w:r>
                        <w:r w:rsidRPr="004A48FE">
                          <w:rPr>
                            <w:rFonts w:ascii="Calibri" w:eastAsia="Times New Roman" w:hAnsi="Calibri" w:cs="Times New Roman"/>
                            <w:lang w:eastAsia="tr-TR"/>
                          </w:rPr>
                          <w:lastRenderedPageBreak/>
                          <w:t>incelenir. Acil durum planlarının içerik ve yeterlilik açısından incelenmesi;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Dâhili acil durum planının bu maddenin on ikinci fıkrası uyarınca çıkarılacak tebliğdeki formata uygun olup olmadığı ve söz konusu tebliğe göre kuruluş hakkında dâhili acil durum planında istenen asgari bilginin bulunup bulunmadığının tespiti hakkında yapılan bir inceleme olup, acil durum önlemlerinin yeterliliği hakkında yapılan bir inceleme değildir,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Kuruluşta denetim yapılmaksızın gerçekleştirilir.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(6) Dâhili acil durum planında belirtilen bilginin kuruluştaki durumu yansıtması esas olup bu bilginin doğruluğundan işletmeci sorumludur. Dâhili acil durum planının içerik ve yeterliliğinin incelenmesi, işletmeci tarafından sağlanan bilginin doğru olduğu varsayılarak yapılır.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(7) İşletmeci: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a) Dâhili acil durum planını, güncellenen dâhili acil durum planını veya </w:t>
                        </w:r>
                        <w:proofErr w:type="gramStart"/>
                        <w:r w:rsidRPr="004A48FE">
                          <w:rPr>
                            <w:rFonts w:ascii="Calibri" w:eastAsia="Times New Roman" w:hAnsi="Calibri" w:cs="Times New Roman"/>
                            <w:lang w:eastAsia="tr-TR"/>
                          </w:rPr>
                          <w:t>dahili</w:t>
                        </w:r>
                        <w:proofErr w:type="gramEnd"/>
                        <w:r w:rsidRPr="004A48FE">
                          <w:rPr>
                            <w:rFonts w:ascii="Calibri" w:eastAsia="Times New Roman" w:hAnsi="Calibri" w:cs="Times New Roman"/>
                            <w:lang w:eastAsia="tr-TR"/>
                          </w:rPr>
                          <w:t xml:space="preserve"> acil durum planında eksik bilgi tespit edilmesi halinde, söz konusu eksik bilgiyi Çevre ve Şehircilik Bakanlığına yazılı ve ıslak imzalı bir nüsha ve bu nüshanın dijital haldeki dört kopyası olarak gönderir.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Dâhili acil durum planının Çevre ve Şehircilik Bakanlığınca yeterli bulunduğunun kendisine bildirilmesini müteakiben on iş günü içinde bildirim ve kayıt sistemine yükler.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(8) Çevre ve Şehircilik Bakanlığı;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Dâhili acil durum planının tümünün incelendiği durumlarda bu incelemeyi söz konusu planın kendisine ulaşmasını müteakiben dört ay içerisinde,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İnceleme sonucu yeterli bulunmayan dâhili acil durum planına ilişkin eksik bilginin incelenmesini ise söz konusu eksik bilginin kendisine ulaşmasını müteakiben bir ay içerisinde tamamlar.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(9) İşletmeci, dâhili acil durum planının incelenmesi safhasında Çevre ve Şehircilik Bakanlığınca yazılı olarak ilâve bilgi talep edilmesi halinde gerekli bilgiyi sağlar.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(10) Dâhili acil durum planının içerik ve yeterlilik açısından incelenmesi sonucunda, Çevre ve Şehircilik Bakanlığı tarafından;</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İnceleme sonucu, bu maddenin on ikinci fıkrası uyarınca çıkarılacak tebliğde belirtilen dâhili acil durum planı formatına uygun ve söz konusu tebliğe göre dâhili acil durum planında istenen bilgisi tam olan dâhili acil durum planı yeterli bulunur. Bu durum işletmeciye bildirilir ve yeterli bulunan dâhili acil durum planı; Çalışma ve Sosyal Güvenlik Bakanlığına, İl Afet ve Acil Durum Müdürlüğüne ve kuruluş Organize Sanayi Bölgesinde ise Organize Sanayi Bölgesi Müdürlüğüne, kuruluşun Endüstri Bölgesi içinde yer alması durumunda Endüstri Bölgesi İşletme Müdürlüğüne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 xml:space="preserve">b) İnceleme sonucu, bu maddenin on ikinci fıkrası uyarınca çıkarılacak tebliğde belirtilen dâhili acil durum planı formatına uygun olmaması ve/veya söz konusu tebliğe göre dâhili acil durum planında istenen bilgilerin tam olmaması halinde, inceleme işleminde tespit edilen format uygunsuzluğunun ve/veya bilgi eksikliğinin giderilmesi için işletmeciye altmışar iş günü olmak üzere en fazla iki defa süre verilir. </w:t>
                        </w:r>
                        <w:proofErr w:type="gramEnd"/>
                        <w:r w:rsidRPr="004A48FE">
                          <w:rPr>
                            <w:rFonts w:ascii="Calibri" w:eastAsia="Times New Roman" w:hAnsi="Calibri" w:cs="Times New Roman"/>
                            <w:lang w:eastAsia="tr-TR"/>
                          </w:rPr>
                          <w:t>İşletmeciye verilen her altmış iş günlük süre içerisinde işletmecinin, format uygunsuzluğunu ve/veya dâhili acil durum planındaki eksik bilgiyi gidererek eksik bilgiyi veya eksik bilgiyi de içeren dâhili acil durum planının son halinin tümünü Çevre ve Şehircilik Bakanlığına ulaştırması zorunludur. Bu altmış iş günlük süreler, Çevre ve Şehircilik Bakanlığının işletmeciye yaptığı bildirimin tebligat tarihini izleyen günden itibaren işlemeye başlar. İşletmeciye verilen süre sonunda;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 Dâhili acil durum planının incelenmesi sonucunda, işletmecinin format uygunsuzluğunu ve/veya bilgi eksikliğini giderdiğinin tespit edilmesi durumunda, dâhili acil durum planı yeterli bulunur. Bu durum işletmeciye bildirilir ve yeterli bulunan dâhili acil durum planı Çalışma ve Sosyal Güvenlik Bakanlığına, İl Afet ve Acil Durum Müdürlüğüne ve kuruluş Organize Sanayi Bölgesinde ise Organize Sanayi Bölgesi Müdürlüğüne, kuruluş Endüstri Bölgesinde ise Endüstri Bölgesi İşletme Müdürlüğüne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2) Çevre ve Şehircilik Bakanlığınca en fazla iki defa süre verilmesine rağmen dâhili acil durum planındaki format uygunsuzluğunun giderilmemesi, eksik bilginin gönderilmemesi veya gönderilen bilginin eksik olması durumunda </w:t>
                        </w:r>
                        <w:proofErr w:type="gramStart"/>
                        <w:r w:rsidRPr="004A48FE">
                          <w:rPr>
                            <w:rFonts w:ascii="Calibri" w:eastAsia="Times New Roman" w:hAnsi="Calibri" w:cs="Times New Roman"/>
                            <w:lang w:eastAsia="tr-TR"/>
                          </w:rPr>
                          <w:t>9/8/1983</w:t>
                        </w:r>
                        <w:proofErr w:type="gramEnd"/>
                        <w:r w:rsidRPr="004A48FE">
                          <w:rPr>
                            <w:rFonts w:ascii="Calibri" w:eastAsia="Times New Roman" w:hAnsi="Calibri" w:cs="Times New Roman"/>
                            <w:lang w:eastAsia="tr-TR"/>
                          </w:rPr>
                          <w:t xml:space="preserve"> tarihli ve 2872 sayılı Çevre Kanunu hükümleri uygulanır.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lastRenderedPageBreak/>
                          <w:t>(11) İşletmeci tarafından kuruluşa ait dâhili acil durum planının gönderilmemesi veya kuruluşun dâhili acil durum planının olmadığının tespiti halinde, 2872 sayılı Çevre Kanunu hükümleri uygulanır.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(12) Çevre ve Şehircilik Bakanlığı, acil durum planlarıyla ilgili Başbakanlık Afet ve Acil Durum Yönetimi Başkanlığının görüşünü alarak bir tebliğ yayımlar.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Harici acil durum planı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14</w:t>
                        </w:r>
                        <w:r w:rsidRPr="004A48FE">
                          <w:rPr>
                            <w:rFonts w:ascii="Calibri" w:eastAsia="Times New Roman" w:hAnsi="Calibri" w:cs="Times New Roman"/>
                            <w:lang w:eastAsia="tr-TR"/>
                          </w:rPr>
                          <w:t> – (1) Bu Yönetmelik kapsamına giren üst seviyeli kuruluşlarla ilgili olarak, İl Afet ve Acil Durum Müdürlükleri, Ek-4, Kısım 1 ve Kısım 3’te belirtilen bilgilerden az olmamak şartı ile 13 üncü maddenin on ikinci fıkrasında belirtilen tebliği dikkate alarak bir harici acil durum planı hazırlar veya hazırlatır.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İl Afet ve Acil Durum Müdürlükleri harici acil durum planını veya planlarını 6 ay içerisinde hazırlar.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(3) İşletmeci, harici acil durum planının hazırlanması için İl Afet ve Acil Durum Müdürlüğünün isteyebileceği herhangi bir ek bilgiyi talep edilen süre içerisinde sağlar.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(4) İl Afet ve Acil Durum Müdürlüğü, harici acil durum planının hazırlanması konusunda;</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İşletmecilerle görüş alışverişinde bulunur,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Gerek görmesi halinde acil servis hizmeti yürüten birimlerden, Organize Sanayi Bölgesi Müdürlüklerinden, Endüstri Bölgesi İşletme Müdürlüklerinden, komşu illerin İl Afet ve Acil Durum Müdürlüklerinden ve harici acil durum planının kapsadığı mülki idarelere bağlı kurum ve kuruluşlardan bilgi alır.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(5) Harici acil durum planı taslağı kamunun bilgilenmesi ve görüşlerini verebilmesi için en az 30 gün süreyle İl Afet ve Acil Durum Müdürlüğü tarafından kamunun erişimine açık hâle getirilir.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(6) İl Afet ve Acil Durum Müdürlüğü, bu maddenin dördüncü ve beşinci fıkraları uyarınca alınan görüşleri de dikkate alarak harici acil durum planına son şeklini verir ve bu planın birer nüshasını Başbakanlık Afet ve Acil Durum Yönetimi Başkanlığına ve Çevre ve Şehircilik Bakanlığına gönderir.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Acil durum planlarının gözden geçirilmesi ve tatbik edilmesi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15</w:t>
                        </w:r>
                        <w:r w:rsidRPr="004A48FE">
                          <w:rPr>
                            <w:rFonts w:ascii="Calibri" w:eastAsia="Times New Roman" w:hAnsi="Calibri" w:cs="Times New Roman"/>
                            <w:lang w:eastAsia="tr-TR"/>
                          </w:rPr>
                          <w:t> – (1) İşletmeci, üç yılı aşmayan aralıklarla dâhili acil durum planını gözden geçirir, gerektiğinde revize eder, günceller, planı tatbik eder ve acil servis hizmetleri yürüten birimlerin yeterli düzeyde tatbikata katılmasını sağlamak için gerekli çalışmaları yapar.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Üç yılı aşmayan aralıklarla, İl Afet ve Acil Durum Müdürlüğü, harici acil durum planını gözden geçirir ve gerektiğinde güncelleyerek, planın tatbikatını, işletmeci ve acil servis hizmetleri yürüten birimlerle işbirliği hâlinde yapar.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Acil durum planlarının uygulanması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16</w:t>
                        </w:r>
                        <w:r w:rsidRPr="004A48FE">
                          <w:rPr>
                            <w:rFonts w:ascii="Calibri" w:eastAsia="Times New Roman" w:hAnsi="Calibri" w:cs="Times New Roman"/>
                            <w:lang w:eastAsia="tr-TR"/>
                          </w:rPr>
                          <w:t> – (1) Bu Yönetmelik gereği dâhili acil durum planını hazırlamış olan işletmeci, büyük bir kaza veya niteliği itibariyle büyük bir kazaya yol açması beklenebilecek kontrolsüz bir olay meydana geldiği zaman, bu planı gecikmeksizin uygular. Böyle bir durum halinde ilgili İl Afet ve Acil Durum Müdürlüğü, dâhili acil durum planının yetersiz kaldığı veya yetersiz kalabileceğini öngördüğü durumlarda, hazırladığı harici acil durum planını gecikmeksizin uygular.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BEŞİNCİ BÖLÜM</w:t>
                        </w:r>
                      </w:p>
                      <w:p w:rsidR="004A48FE" w:rsidRPr="004A48FE" w:rsidRDefault="004A48FE" w:rsidP="004A48FE">
                        <w:pPr>
                          <w:spacing w:after="0" w:line="240" w:lineRule="atLeast"/>
                          <w:ind w:firstLine="567"/>
                          <w:jc w:val="center"/>
                          <w:rPr>
                            <w:rFonts w:ascii="Calibri" w:eastAsia="Times New Roman" w:hAnsi="Calibri" w:cs="Times New Roman"/>
                            <w:lang w:eastAsia="tr-TR"/>
                          </w:rPr>
                        </w:pPr>
                        <w:r w:rsidRPr="004A48FE">
                          <w:rPr>
                            <w:rFonts w:ascii="Calibri" w:eastAsia="Times New Roman" w:hAnsi="Calibri" w:cs="Times New Roman"/>
                            <w:b/>
                            <w:bCs/>
                            <w:lang w:eastAsia="tr-TR"/>
                          </w:rPr>
                          <w:t>Çeşitli ve Son Hükümler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Kamunun bilgilendirilmesi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b/>
                            <w:bCs/>
                            <w:lang w:eastAsia="tr-TR"/>
                          </w:rPr>
                          <w:t>MADDE 17</w:t>
                        </w:r>
                        <w:r w:rsidRPr="004A48FE">
                          <w:rPr>
                            <w:rFonts w:ascii="Calibri" w:eastAsia="Times New Roman" w:hAnsi="Calibri" w:cs="Times New Roman"/>
                            <w:lang w:eastAsia="tr-TR"/>
                          </w:rPr>
                          <w:t> – (1) 11 inci maddenin uygulandığı kuruluşun işletmecisi, dâhili acil durum planının yeterli bulunduğunun tebliğ edilmesini müteakip otuz gün içinde kuruluşunda olması muhtemel kazalar, alınan güvenlik tedbirleri ve büyük bir kaza olması durumunda yapılması gerekenler hakkında, İl Afet ve Acil Durum Müdürlüğü tarafından belirlenen etki alanı içinde yer alan tüm kişilere, kamu ve özel sektör kuruluşlarına en uygun yöntemleri kullanarak bilgi verir.</w:t>
                        </w:r>
                        <w:proofErr w:type="gramEnd"/>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İşletmeci birinci fıkrada belirtilen bilgiyi kamuya açık hale getirir.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(3) Birinci fıkrada belirtilen bilgi, Ek-5’te belirtilenlerden az olmamak şartı ile bu maddenin altıncı fıkrasında belirtilen rehber dikkate alınarak hazırlanır.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lastRenderedPageBreak/>
                          <w:t>(4) İşletmeci, bu maddenin birinci fıkrası uyarınca istenen bilgiyi hazırlarken, İl Afet ve Acil Durum Müdürlüğüne ve uygun gördüğü diğer kişilere danışır. Bu bilginin doğruluğu, yeterliliği ve şeklinden işletmeci sorumludur.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(5) İşletmeci büyük bir kazaya neden olabilecek şekilde tehlikeli maddelerin niteliğinin veya miktarının, kuruluşun veya depolamanın değişmesi hâlinde veya bu durumlar oluşmasa dahi beş yılı aşmayan aralıklarla, bu maddenin birinci fıkrasında belirtilen bilgileri gözden geçirir ve gerekirse günceller.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(6) Çevre ve Şehircilik Bakanlığı ve Çalışma ve Sosyal Güvenlik Bakanlığı, kamunun bilgilendirilmesi hakkında rehber hazırlar.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Büyük bir kaza sonrasında işletmeci tarafından sağlanması gereken bilgiler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18</w:t>
                        </w:r>
                        <w:r w:rsidRPr="004A48FE">
                          <w:rPr>
                            <w:rFonts w:ascii="Calibri" w:eastAsia="Times New Roman" w:hAnsi="Calibri" w:cs="Times New Roman"/>
                            <w:lang w:eastAsia="tr-TR"/>
                          </w:rPr>
                          <w:t> – (1) İşletmeci, kuruluşta büyük bir kaza meydana geldiği takdirde, mümkün olan en kısa sürede en uygun araçları kullanarak aşağıdakileri yerine getirir: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Valilik ve ilgili belediye başta olmak üzere, Başbakanlık Afet ve Acil Durum Yönetimi Başkanlığını, Türkiye Halk Sağlığı Kurumunu, Çevre ve Şehircilik Bakanlığını ve Çalışma ve Sosyal Güvenlik Bakanlığını bu kazadan derhal haberdar eder ve kaza ile ilgili aşağıdaki bilgileri sağlar: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 Kazanın oluşumu ve gelişim seyri.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İlgili tehlikeli maddeler ve miktarları.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3) Kazanın insan ve çevre üzerindeki etkilerinin değerlendirilmesi için gerekli olan mevcut verileri.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4) Alınan acil durum önlemleri.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Kuruluş sınırları içerisinde meydana gelen büyük bir kaza, Ek-6’da verilen Büyük Endüstriyel Kaza Bildirim Kriterleri’nden en az birini sağlıyorsa işletmeci tarafından bu fıkranın (c) bendinde belirtilen form doldurulur.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İşletmeci, kuruluşunda meydana gelen büyük bir kazayı müteakip altmış gün içerisinde, bildirim ve kayıt sisteminde yer alan Büyük Endüstriyel Kazaları Bildirme/Rapor Etme Formunu doldurarak elektronik olarak sisteme yükler.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Domino etkisi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19</w:t>
                        </w:r>
                        <w:r w:rsidRPr="004A48FE">
                          <w:rPr>
                            <w:rFonts w:ascii="Calibri" w:eastAsia="Times New Roman" w:hAnsi="Calibri" w:cs="Times New Roman"/>
                            <w:lang w:eastAsia="tr-TR"/>
                          </w:rPr>
                          <w:t> – (1) İl Afet ve Acil Durum Müdürlüğü, güvenlik raporlarındaki bilgileri kullanarak, kuruluşların konumu ve bulundurduğu tehlikeli maddeler nedeniyle büyük kaza ihtimalinin veya sonuçlarının artabilecek olması durumunu dikkate alarak, kuruluş gruplarını tayin eder.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İl Afet ve Acil Durum Müdürlüğü, bu maddenin birinci fıkrası uyarınca tayin edilen bir gruptaki kuruluşların işletmecilerine aynı grup içindeki diğer kuruluşların isim ve adreslerini bildirir.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(3) Bu maddenin birinci fıkrası uyarınca tayin edilen bir gruptaki herhangi bir kuruluşun işletmecisi;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Gruptaki diğer kuruluşların işletmecilerine büyük kaza önleme politika belgelerindeki, güvenlik yönetim sistemlerindeki, güvenlik raporlarındaki ve dâhili acil durum planlarındaki büyük bir kazanın oluşturacağı tüm tehlikelerin doğasının ve büyüklüğünün dikkate alınmasını sağlayacak şekilde uygun bilgi alışverişini sağlar.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b) 14 üncü maddenin üçüncü fıkrası ve 17 </w:t>
                        </w:r>
                        <w:proofErr w:type="spellStart"/>
                        <w:r w:rsidRPr="004A48FE">
                          <w:rPr>
                            <w:rFonts w:ascii="Calibri" w:eastAsia="Times New Roman" w:hAnsi="Calibri" w:cs="Times New Roman"/>
                            <w:lang w:eastAsia="tr-TR"/>
                          </w:rPr>
                          <w:t>nci</w:t>
                        </w:r>
                        <w:proofErr w:type="spellEnd"/>
                        <w:r w:rsidRPr="004A48FE">
                          <w:rPr>
                            <w:rFonts w:ascii="Calibri" w:eastAsia="Times New Roman" w:hAnsi="Calibri" w:cs="Times New Roman"/>
                            <w:lang w:eastAsia="tr-TR"/>
                          </w:rPr>
                          <w:t xml:space="preserve"> maddenin birinci fıkrası çerçevesinde kendi yükümlülüklerini yerine getirmeleri için diğer kuruluşların işletmecileriyle işbirliği yapar.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(4) İl Afet ve Acil Durum Müdürlüğü, bu maddenin üçüncü fıkrasında belirtilen bilgi alışverişi ve işbirliğinin yapılmasını sağlar.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(5) İl Afet ve Acil Durum Müdürlüğü, Çevre ve Şehircilik Bakanlığına bu maddenin birinci fıkrası uyarınca belirlenmiş kuruluş veya kuruluş grupları hakkında bilgi verir.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Bildirim ve kayıt sistemi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20</w:t>
                        </w:r>
                        <w:r w:rsidRPr="004A48FE">
                          <w:rPr>
                            <w:rFonts w:ascii="Calibri" w:eastAsia="Times New Roman" w:hAnsi="Calibri" w:cs="Times New Roman"/>
                            <w:lang w:eastAsia="tr-TR"/>
                          </w:rPr>
                          <w:t> – (1) Çevre ve Şehircilik Bakanlığı, aşağıdaki bilgileri içeren bir kayıt sistemi kurar ve sistemin devamlılığını sağlar. Çevre ve Şehircilik Bakanlığı, Çalışma ve Sosyal Güvenlik Bakanlığının sistemdeki tüm bilgilere, Başbakanlık Afet ve Acil Durum Yönetimi Başkanlığı ile İl Afet ve Acil Durum Müdürlüklerinin ise sistemdeki bilgilerden afet ve acil durum hizmetlerini yürütebilmesi için gerekli olanlarına erişimini sağlar.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a) 7 </w:t>
                        </w:r>
                        <w:proofErr w:type="spellStart"/>
                        <w:r w:rsidRPr="004A48FE">
                          <w:rPr>
                            <w:rFonts w:ascii="Calibri" w:eastAsia="Times New Roman" w:hAnsi="Calibri" w:cs="Times New Roman"/>
                            <w:lang w:eastAsia="tr-TR"/>
                          </w:rPr>
                          <w:t>nci</w:t>
                        </w:r>
                        <w:proofErr w:type="spellEnd"/>
                        <w:r w:rsidRPr="004A48FE">
                          <w:rPr>
                            <w:rFonts w:ascii="Calibri" w:eastAsia="Times New Roman" w:hAnsi="Calibri" w:cs="Times New Roman"/>
                            <w:lang w:eastAsia="tr-TR"/>
                          </w:rPr>
                          <w:t xml:space="preserve"> maddeye göre yapılan bildirimler.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lastRenderedPageBreak/>
                          <w:t>b) Hazırlanan veya güncellenen büyük kaza önleme politika belgesi.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Hazırlanan veya güncellenen güvenlik raporları veya güvenlik raporlarının güncellenmesine ilişkin ek bilgi.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ç) Hazırlanan veya güncellenen dâhili acil durum planları veya </w:t>
                        </w:r>
                        <w:proofErr w:type="gramStart"/>
                        <w:r w:rsidRPr="004A48FE">
                          <w:rPr>
                            <w:rFonts w:ascii="Calibri" w:eastAsia="Times New Roman" w:hAnsi="Calibri" w:cs="Times New Roman"/>
                            <w:lang w:eastAsia="tr-TR"/>
                          </w:rPr>
                          <w:t>dahili</w:t>
                        </w:r>
                        <w:proofErr w:type="gramEnd"/>
                        <w:r w:rsidRPr="004A48FE">
                          <w:rPr>
                            <w:rFonts w:ascii="Calibri" w:eastAsia="Times New Roman" w:hAnsi="Calibri" w:cs="Times New Roman"/>
                            <w:lang w:eastAsia="tr-TR"/>
                          </w:rPr>
                          <w:t xml:space="preserve"> acil durum planlarının güncellenmesine ilişkin ek bilgi.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d) 18 inci madde uyarınca gönderilen kaza bilgileri.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e) 19 uncu maddenin birinci fıkrası ile tayin edilen kuruluşları veya kuruluş grupları.</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Gizlilik</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21</w:t>
                        </w:r>
                        <w:r w:rsidRPr="004A48FE">
                          <w:rPr>
                            <w:rFonts w:ascii="Calibri" w:eastAsia="Times New Roman" w:hAnsi="Calibri" w:cs="Times New Roman"/>
                            <w:lang w:eastAsia="tr-TR"/>
                          </w:rPr>
                          <w:t> – (1) Bu Yönetmelik kapsamında hazırlanacak güvenlik raporları ve dâhili acil durum planlarının hangi bölümlerinin gizli olarak kabul edileceği bu Yönetmeliğin 11 inci ve 13 üncü maddeleri uyarınca çıkarılacak tebliğlerle belirlenir.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Saha denetimleri</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22</w:t>
                        </w:r>
                        <w:r w:rsidRPr="004A48FE">
                          <w:rPr>
                            <w:rFonts w:ascii="Calibri" w:eastAsia="Times New Roman" w:hAnsi="Calibri" w:cs="Times New Roman"/>
                            <w:lang w:eastAsia="tr-TR"/>
                          </w:rPr>
                          <w:t> – (1) Bu Yönetmelik kapsamına giren kuruluşların denetimleri, koordinasyon içinde hazırlanan bir denetim planına/programına göre, Çevre ve Şehircilik Bakanlığı ve/veya Çalışma ve Sosyal Güvenlik Bakanlığı tarafından programlı ve program dışı denetimler yapılmak suretiyle gerçekleştirilir.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Denetim planı/programı alt ve üst seviyeli tüm kuruluşlar göz önünde bulundurularak denetim kapasitesine yönelik kaynakların elverdiği ölçüde, üst seviyeli kuruluşların yılda en az bir kez denetlenmesini sağlayacak şekilde hazırlanır.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(3) Her denetimi takiben, bir denetim raporu hazırlanır.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(4) Denetimlerde, işletmeci tarafından büyük kazaları önlemek ve bu kazaların insan ve çevreye olan zararlarını sınırlandırmak için güvenlik yönetim sisteminde </w:t>
                        </w:r>
                        <w:proofErr w:type="gramStart"/>
                        <w:r w:rsidRPr="004A48FE">
                          <w:rPr>
                            <w:rFonts w:ascii="Calibri" w:eastAsia="Times New Roman" w:hAnsi="Calibri" w:cs="Times New Roman"/>
                            <w:lang w:eastAsia="tr-TR"/>
                          </w:rPr>
                          <w:t>proses</w:t>
                        </w:r>
                        <w:proofErr w:type="gramEnd"/>
                        <w:r w:rsidRPr="004A48FE">
                          <w:rPr>
                            <w:rFonts w:ascii="Calibri" w:eastAsia="Times New Roman" w:hAnsi="Calibri" w:cs="Times New Roman"/>
                            <w:lang w:eastAsia="tr-TR"/>
                          </w:rPr>
                          <w:t xml:space="preserve"> güvenliğine ilişkin teknik ve </w:t>
                        </w:r>
                        <w:proofErr w:type="spellStart"/>
                        <w:r w:rsidRPr="004A48FE">
                          <w:rPr>
                            <w:rFonts w:ascii="Calibri" w:eastAsia="Times New Roman" w:hAnsi="Calibri" w:cs="Times New Roman"/>
                            <w:lang w:eastAsia="tr-TR"/>
                          </w:rPr>
                          <w:t>organizasyonel</w:t>
                        </w:r>
                        <w:proofErr w:type="spellEnd"/>
                        <w:r w:rsidRPr="004A48FE">
                          <w:rPr>
                            <w:rFonts w:ascii="Calibri" w:eastAsia="Times New Roman" w:hAnsi="Calibri" w:cs="Times New Roman"/>
                            <w:lang w:eastAsia="tr-TR"/>
                          </w:rPr>
                          <w:t xml:space="preserve"> önlemlerin alınıp alınmadığı ve bu Yönetmelik kapsamındaki diğer yükümlülüklerin işletmeci tarafından yerine getirilip getirilmediği denetlenir. Güvenlik yönetim sisteminin denetimi esnasında güvenlik raporu, dâhili acil durum planı ve büyük kaza önleme politika belgesi de dikkate alınır.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(5) Denetim planına göre yapılan programlı denetimlerde, her bir kuruluşta, Ek-3’te belirtilen güvenlik yönetim sisteminin unsurlarının tamamı kademeli olarak denetlenir. Yapılan her bir programlı denetimde, söz konusu unsurlardan bir veya birden fazlası denetlenir. Güvenlik yönetim sistemi unsurlarının tamamının denetiminin 6 yıl içerisinde tamamlanması esastır.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(6) Bu Yönetmelik kapsamındaki bir kuruluşta büyük kaza olması durumunda ve incelemenin gerekli görüldüğü hallerde yapılan plansız/program dışı denetimlerde;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Kazanın analizi yapılarak kazanın meydana geliş sebeplerini ve gelecekte benzer kazaların meydana gelmemesi için alınması gereken tedbirleri tespit etmeye yönelik incelemelerde bulunulur,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Benzer kazaların meydana gelmemesi için işletmeciden gerekli tedbirlerin alınması istenir,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Bu kuruluşun üst seviyeli bir kuruluş olması durumunda acil durum planlarının uygulanıp uygulanmadığı denetlenir,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ç) İşletmecinin 18 inci maddede belirtilen yükümlülükleri yerine getirip getirmediği kontrol edilir.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(7) Bu madde kapsamında yapılan denetimler bu Yönetmelik kapsamındaki kuruluşlarda yapılan saha denetimlerini ifade eder.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(8) Çevre ve Şehircilik Bakanlığı ve Çalışma ve Sosyal Güvenlik Bakanlığı denetimler ile ilgili bir tebliğ çıkarır.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İdari tedbirler ve uygulanma usulleri ile yaptırımlar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23</w:t>
                        </w:r>
                        <w:r w:rsidRPr="004A48FE">
                          <w:rPr>
                            <w:rFonts w:ascii="Calibri" w:eastAsia="Times New Roman" w:hAnsi="Calibri" w:cs="Times New Roman"/>
                            <w:lang w:eastAsia="tr-TR"/>
                          </w:rPr>
                          <w:t> – (1) Saha denetimlerinde;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Çalışanlar için hayati tehlike oluşturan bir hususun tespit edilmesi durumunda, Çalışma ve Sosyal Güvenlik Bakanlığı tarafından kuruluşta iş tamamen veya kısmen durdurulur.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b) Çevre ve Şehircilik Bakanlığı tarafından bu Yönetmelik hükümlerine aykırılığın tespit edilmesi halinde, söz konusu aykırılığın giderilmesi için bir defaya mahsus olmak üzere ve bir yılı aşmamak kaydı ile süre verilebilir. Faaliyet; süre verilmemesi halinde derhal, süre verilmesi </w:t>
                        </w:r>
                        <w:r w:rsidRPr="004A48FE">
                          <w:rPr>
                            <w:rFonts w:ascii="Calibri" w:eastAsia="Times New Roman" w:hAnsi="Calibri" w:cs="Times New Roman"/>
                            <w:lang w:eastAsia="tr-TR"/>
                          </w:rPr>
                          <w:lastRenderedPageBreak/>
                          <w:t>durumunda bu süre sonunda aykırılık düzeltilmez ise kısmen veya tamamen, süreli veya süresiz olarak durdurulur. Çevre ve insan sağlığı yönünden tehlike oluşturan faaliyetler süre verilmeksizin durdurulur.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Üst seviyeli bir kuruluşun güvenlik raporunun olmaması, incelenmek üzere gönderilmemesi veya yetersiz bulunması durumlarında kuruluşun tamamında iş durdurulur. Durdurmaya ilişkin olarak aşağıda belirtilen usuller Çalışma ve Sosyal Güvenlik Bakanlığı tarafından uygulanır: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a) Güvenlik raporu inceleme komisyonu bu fıkrada belirtilen durumların tespiti halinde, tespitin yapıldığı tarihten itibaren beş iş günü içerisinde komisyon tarafından kuruluşta işin durdurulmasını gerektiren tespitleri içeren ve komisyonun durdurma kararını belirten bir tutanak düzenler. Bu tutanak, düzenlendiği tarihi takip eden beş iş günü içinde karara ilişkin sekretarya işlerinin yerine getirilmesi amacıyla ilgili durdurma heyetine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Durdurma heyeti, güvenlik raporu inceleme komisyonunca verilen işin durdurulması kararını, tutanağa ilişkin maddi hataların incelenmesi durumu saklı kalmak koşuluyla, söz konusu kararın kendisine ulaşmasını müteakiben üç iş günü içinde ilgili Valiliğe gönderir. Durdurma heyetinin tutanakta maddi hata tespit etmesi halinde, tutanak işleme konulmadan güvenlik raporu inceleme komisyonuna iade edilir.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c) İşin durdurulması kararı, mülki idare amiri tarafından 24 saat içinde yerine getirilir. Kuruluşun tamamında iş durdurulur ve kuruluş mülki idare amirinin emriyle mühürlenir. Durumu belirleyen bir tutanak düzenlenir ve bir nüshası Çalışma ve Sosyal Güvenlik Bakanlığının ilgili birimine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ç) İşletmeci, işin durdurulmasına sebep olan güvenlik raporunun olmaması veya güvenlik raporunun incelenmek üzere gönderilmemesi veya gönderilen güvenlik raporunun yetersiz bulunması durumunun giderilmesi için mühürlerin geçici olarak sökülmesi talebini dilekçeyle Çalışma ve Sosyal Güvenlik Bakanlığının ilgili birimine iletir. İşletmeci, taahhüdünü, güvenlik raporuyla ilgili yapacağı çalışma planını ve bu çalışmayla ilgili gerekli bilgileri bir dosya halinde dilekçeye ekler. Hazırlanan dosya ıslak imzalı ve dijital ortamda ayrıntılı olarak dilekçe ekinde verilir.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d) İşletmecinin mühürlerin geçici olarak sökülmesi talebi, ilgili durdurma heyetine intikal ettirilir. Heyet, talebi dilekçe ve eklerinde bulunan bilgiler ışığında değerlendirir ve kararını beş iş günü içerisinde verir. Gerektiğinde işletmeciden ek bilgi talep edilebilir.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e) Mühürlerin geçici olarak sökülmesi kararı verilmesi halinde karar, mülki idare amirine gönderilir. Mülki idare amiri, belirtilen şartlarda ve süreyle çalışma yapılabilmesi için mühürlerin geçici olarak sökülmesini ve durumu belirtir bir tutanak düzenlenmesini sağlar. Düzenlenen tutanağın bir nüshası Çalışma ve Sosyal Güvenlik Bakanlığının ilgili birimine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f) Mühürlerin geçici olarak sökülmesi talebinin durdurma heyetince uygun görülmemesi halinde bu karar işletmeciye bildirilir.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g) Mülki idare amiri, mühürlerin geçici olarak söküldüğü süre sonunda işyerinin tekrar mühürlenmesini ve durdurma kararının uygulanmasına devam edilmesini sağlar.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ğ) İşin durdurulduğu kuruluştaki durdurmaya sebep hususları gidermeye yönelik olarak, işletmeci tarafından hazırlanan güvenlik raporu yazılı ve ıslak imzalı bir nüsha ve dijital halde üç nüsha olarak Çalışma ve Sosyal Güvenlik Bakanlığının ilgili birimine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h) İşveren tarafından hazırlanan güvenlik raporu, güvenlik raporu inceleme komisyonu tarafından içerik ve yeterlilik açısından kırk beş iş günü içerisinde incelenir.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ı) İnceleme sonucunda güvenlik raporunun yeterli bulunması halinde;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 Durdurma kararına neden olan hususların giderildiği ve durdurmanın kaldırılması kararını belirten bir tutanak düzenlenir. Bu tutanak düzenlendiği tarihi takip eden iki iş günü içinde, karara ilişkin sekretarya işlerinin yerine getirilmesi amacıyla ilgili durdurma heyetine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2) Durdurma heyeti, güvenlik raporu inceleme komisyonunca verilen durdurmanın kaldırılması kararını, tutanağa ilişkin maddi hataların incelenmesi durumu saklı kalmak koşuluyla, söz konusu kararın kendisine ulaşmasını müteakiben iki iş günü içinde ilgili valiliğe ve işletmeciye gönderir. Söz konusu karar mülki idare amiri tarafından yerine getirilir. Ayrıca, yeterli bulunan </w:t>
                        </w:r>
                        <w:r w:rsidRPr="004A48FE">
                          <w:rPr>
                            <w:rFonts w:ascii="Calibri" w:eastAsia="Times New Roman" w:hAnsi="Calibri" w:cs="Times New Roman"/>
                            <w:lang w:eastAsia="tr-TR"/>
                          </w:rPr>
                          <w:lastRenderedPageBreak/>
                          <w:t>güvenlik raporu, Çevre ve Şehircilik Bakanlığına ve Başbakanlık Afet ve Acil Durum Yönetimi Başkanlığına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i) İnceleme sonucunda güvenlik raporunun yetersiz bulunması halinde;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1) Durdurma kararına neden olan hususların giderilmediği ve durdurmanın devamının belirtildiği bir tutanak düzenlenir. Bu tutanak düzenlendiği tarihi takip eden iki iş günü içinde, ilgili durdurma heyetine gönderilir.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2) Durdurma heyeti, güvenlik raporu inceleme komisyonunca verilen durdurmanın devamı kararını, tutanağa ilişkin maddi hataların incelenmesi durumu saklı kalmak koşuluyla, söz konusu kararın kendisine ulaşmasını müteakiben iki iş günü içinde ilgili işletmeciye bildirir.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(3) Bu Yönetmelikte tanımlanan hususlara aykırılık halinde 2872 sayılı Çevre Kanunu ve 6331 sayılı İş Sağlığı ve Güvenliği Kanununun ilgili hükümleri uygulanır.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Yürürlükten kaldırılan yönetmelik</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24</w:t>
                        </w:r>
                        <w:r w:rsidRPr="004A48FE">
                          <w:rPr>
                            <w:rFonts w:ascii="Calibri" w:eastAsia="Times New Roman" w:hAnsi="Calibri" w:cs="Times New Roman"/>
                            <w:lang w:eastAsia="tr-TR"/>
                          </w:rPr>
                          <w:t xml:space="preserve"> – (1) </w:t>
                        </w:r>
                        <w:proofErr w:type="gramStart"/>
                        <w:r w:rsidRPr="004A48FE">
                          <w:rPr>
                            <w:rFonts w:ascii="Calibri" w:eastAsia="Times New Roman" w:hAnsi="Calibri" w:cs="Times New Roman"/>
                            <w:lang w:eastAsia="tr-TR"/>
                          </w:rPr>
                          <w:t>18/8/2010</w:t>
                        </w:r>
                        <w:proofErr w:type="gramEnd"/>
                        <w:r w:rsidRPr="004A48FE">
                          <w:rPr>
                            <w:rFonts w:ascii="Calibri" w:eastAsia="Times New Roman" w:hAnsi="Calibri" w:cs="Times New Roman"/>
                            <w:lang w:eastAsia="tr-TR"/>
                          </w:rPr>
                          <w:t xml:space="preserve"> tarihli ve 27676 sayılı Resmî </w:t>
                        </w:r>
                        <w:proofErr w:type="spellStart"/>
                        <w:r w:rsidRPr="004A48FE">
                          <w:rPr>
                            <w:rFonts w:ascii="Calibri" w:eastAsia="Times New Roman" w:hAnsi="Calibri" w:cs="Times New Roman"/>
                            <w:lang w:eastAsia="tr-TR"/>
                          </w:rPr>
                          <w:t>Gazete’de</w:t>
                        </w:r>
                        <w:proofErr w:type="spellEnd"/>
                        <w:r w:rsidRPr="004A48FE">
                          <w:rPr>
                            <w:rFonts w:ascii="Calibri" w:eastAsia="Times New Roman" w:hAnsi="Calibri" w:cs="Times New Roman"/>
                            <w:lang w:eastAsia="tr-TR"/>
                          </w:rPr>
                          <w:t xml:space="preserve"> yayımlanan Büyük Endüstriyel Kazaların Kontrolü Hakkında Yönetmelik yürürlükten kaldırılmıştır.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Önceki bildirimler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GEÇİCİ MADDE 1</w:t>
                        </w:r>
                        <w:r w:rsidRPr="004A48FE">
                          <w:rPr>
                            <w:rFonts w:ascii="Calibri" w:eastAsia="Times New Roman" w:hAnsi="Calibri" w:cs="Times New Roman"/>
                            <w:lang w:eastAsia="tr-TR"/>
                          </w:rPr>
                          <w:t xml:space="preserve"> – (1) Büyük Endüstriyel Kazaların Kontrolü Hakkında Yönetmeliğin 7 </w:t>
                        </w:r>
                        <w:proofErr w:type="spellStart"/>
                        <w:r w:rsidRPr="004A48FE">
                          <w:rPr>
                            <w:rFonts w:ascii="Calibri" w:eastAsia="Times New Roman" w:hAnsi="Calibri" w:cs="Times New Roman"/>
                            <w:lang w:eastAsia="tr-TR"/>
                          </w:rPr>
                          <w:t>nci</w:t>
                        </w:r>
                        <w:proofErr w:type="spellEnd"/>
                        <w:r w:rsidRPr="004A48FE">
                          <w:rPr>
                            <w:rFonts w:ascii="Calibri" w:eastAsia="Times New Roman" w:hAnsi="Calibri" w:cs="Times New Roman"/>
                            <w:lang w:eastAsia="tr-TR"/>
                          </w:rPr>
                          <w:t xml:space="preserve"> maddesine istinaden yapılmış bildirimler bu Yönetmeliğin eklerinde bildirimi gerektirecek bir değişiklik yapılıncaya kadar bu Yönetmeliğe göre yapılmış sayılır.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Yürürlük</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25</w:t>
                        </w:r>
                        <w:r w:rsidRPr="004A48FE">
                          <w:rPr>
                            <w:rFonts w:ascii="Calibri" w:eastAsia="Times New Roman" w:hAnsi="Calibri" w:cs="Times New Roman"/>
                            <w:lang w:eastAsia="tr-TR"/>
                          </w:rPr>
                          <w:t> – (1) Çalışma ve Sosyal Güvenlik Bakanlığı ile Çevre ve Şehircilik Bakanlığınca müştereken hazırlanan bu Yönetmeliğin;</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a) 7 </w:t>
                        </w:r>
                        <w:proofErr w:type="spellStart"/>
                        <w:r w:rsidRPr="004A48FE">
                          <w:rPr>
                            <w:rFonts w:ascii="Calibri" w:eastAsia="Times New Roman" w:hAnsi="Calibri" w:cs="Times New Roman"/>
                            <w:lang w:eastAsia="tr-TR"/>
                          </w:rPr>
                          <w:t>nci</w:t>
                        </w:r>
                        <w:proofErr w:type="spellEnd"/>
                        <w:r w:rsidRPr="004A48FE">
                          <w:rPr>
                            <w:rFonts w:ascii="Calibri" w:eastAsia="Times New Roman" w:hAnsi="Calibri" w:cs="Times New Roman"/>
                            <w:lang w:eastAsia="tr-TR"/>
                          </w:rPr>
                          <w:t xml:space="preserve"> maddesi yayımı tarihinde,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b) </w:t>
                        </w:r>
                        <w:r w:rsidRPr="004A48FE">
                          <w:rPr>
                            <w:rFonts w:ascii="Calibri" w:eastAsia="Times New Roman" w:hAnsi="Calibri" w:cs="Times New Roman"/>
                            <w:b/>
                            <w:bCs/>
                            <w:lang w:eastAsia="tr-TR"/>
                          </w:rPr>
                          <w:t>(</w:t>
                        </w:r>
                        <w:proofErr w:type="gramStart"/>
                        <w:r w:rsidRPr="004A48FE">
                          <w:rPr>
                            <w:rFonts w:ascii="Calibri" w:eastAsia="Times New Roman" w:hAnsi="Calibri" w:cs="Times New Roman"/>
                            <w:b/>
                            <w:bCs/>
                            <w:lang w:eastAsia="tr-TR"/>
                          </w:rPr>
                          <w:t>Değişik:RG</w:t>
                        </w:r>
                        <w:proofErr w:type="gramEnd"/>
                        <w:r w:rsidRPr="004A48FE">
                          <w:rPr>
                            <w:rFonts w:ascii="Calibri" w:eastAsia="Times New Roman" w:hAnsi="Calibri" w:cs="Times New Roman"/>
                            <w:b/>
                            <w:bCs/>
                            <w:lang w:eastAsia="tr-TR"/>
                          </w:rPr>
                          <w:t>-2/8/2016-29789)</w:t>
                        </w:r>
                        <w:r w:rsidRPr="004A48FE">
                          <w:rPr>
                            <w:rFonts w:ascii="Calibri" w:eastAsia="Times New Roman" w:hAnsi="Calibri" w:cs="Times New Roman"/>
                            <w:lang w:eastAsia="tr-TR"/>
                          </w:rPr>
                          <w:t> 9 uncu maddesi ve 14 üncü maddenin ikinci fıkrası 1/7/2017 tarihinde,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c) 24 üncü maddesi </w:t>
                        </w:r>
                        <w:proofErr w:type="gramStart"/>
                        <w:r w:rsidRPr="004A48FE">
                          <w:rPr>
                            <w:rFonts w:ascii="Calibri" w:eastAsia="Times New Roman" w:hAnsi="Calibri" w:cs="Times New Roman"/>
                            <w:lang w:eastAsia="tr-TR"/>
                          </w:rPr>
                          <w:t>1/1/2014</w:t>
                        </w:r>
                        <w:proofErr w:type="gramEnd"/>
                        <w:r w:rsidRPr="004A48FE">
                          <w:rPr>
                            <w:rFonts w:ascii="Calibri" w:eastAsia="Times New Roman" w:hAnsi="Calibri" w:cs="Times New Roman"/>
                            <w:lang w:eastAsia="tr-TR"/>
                          </w:rPr>
                          <w:t xml:space="preserve"> tarihinde,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xml:space="preserve">ç) Diğer maddeleri ise </w:t>
                        </w:r>
                        <w:proofErr w:type="gramStart"/>
                        <w:r w:rsidRPr="004A48FE">
                          <w:rPr>
                            <w:rFonts w:ascii="Calibri" w:eastAsia="Times New Roman" w:hAnsi="Calibri" w:cs="Times New Roman"/>
                            <w:lang w:eastAsia="tr-TR"/>
                          </w:rPr>
                          <w:t>1/1/2016</w:t>
                        </w:r>
                        <w:proofErr w:type="gramEnd"/>
                        <w:r w:rsidRPr="004A48FE">
                          <w:rPr>
                            <w:rFonts w:ascii="Calibri" w:eastAsia="Times New Roman" w:hAnsi="Calibri" w:cs="Times New Roman"/>
                            <w:lang w:eastAsia="tr-TR"/>
                          </w:rPr>
                          <w:t xml:space="preserve"> tarihinde,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d) </w:t>
                        </w:r>
                        <w:r w:rsidRPr="004A48FE">
                          <w:rPr>
                            <w:rFonts w:ascii="Calibri" w:eastAsia="Times New Roman" w:hAnsi="Calibri" w:cs="Times New Roman"/>
                            <w:b/>
                            <w:bCs/>
                            <w:lang w:eastAsia="tr-TR"/>
                          </w:rPr>
                          <w:t>(</w:t>
                        </w:r>
                        <w:proofErr w:type="gramStart"/>
                        <w:r w:rsidRPr="004A48FE">
                          <w:rPr>
                            <w:rFonts w:ascii="Calibri" w:eastAsia="Times New Roman" w:hAnsi="Calibri" w:cs="Times New Roman"/>
                            <w:b/>
                            <w:bCs/>
                            <w:lang w:eastAsia="tr-TR"/>
                          </w:rPr>
                          <w:t>Ek:RG</w:t>
                        </w:r>
                        <w:proofErr w:type="gramEnd"/>
                        <w:r w:rsidRPr="004A48FE">
                          <w:rPr>
                            <w:rFonts w:ascii="Calibri" w:eastAsia="Times New Roman" w:hAnsi="Calibri" w:cs="Times New Roman"/>
                            <w:b/>
                            <w:bCs/>
                            <w:lang w:eastAsia="tr-TR"/>
                          </w:rPr>
                          <w:t>-2/8/2016-29789)</w:t>
                        </w:r>
                        <w:r w:rsidRPr="004A48FE">
                          <w:rPr>
                            <w:rFonts w:ascii="Calibri" w:eastAsia="Times New Roman" w:hAnsi="Calibri" w:cs="Times New Roman"/>
                            <w:lang w:eastAsia="tr-TR"/>
                          </w:rPr>
                          <w:t> 10 uncu ve 11 inci maddesi 31/12/2016 tarihinde,</w:t>
                        </w:r>
                      </w:p>
                      <w:p w:rsidR="004A48FE" w:rsidRPr="004A48FE" w:rsidRDefault="004A48FE" w:rsidP="004A48FE">
                        <w:pPr>
                          <w:spacing w:after="0" w:line="240" w:lineRule="atLeast"/>
                          <w:ind w:firstLine="567"/>
                          <w:jc w:val="both"/>
                          <w:rPr>
                            <w:rFonts w:ascii="Calibri" w:eastAsia="Times New Roman" w:hAnsi="Calibri" w:cs="Times New Roman"/>
                            <w:lang w:eastAsia="tr-TR"/>
                          </w:rPr>
                        </w:pPr>
                        <w:proofErr w:type="gramStart"/>
                        <w:r w:rsidRPr="004A48FE">
                          <w:rPr>
                            <w:rFonts w:ascii="Calibri" w:eastAsia="Times New Roman" w:hAnsi="Calibri" w:cs="Times New Roman"/>
                            <w:lang w:eastAsia="tr-TR"/>
                          </w:rPr>
                          <w:t>yürürlüğe</w:t>
                        </w:r>
                        <w:proofErr w:type="gramEnd"/>
                        <w:r w:rsidRPr="004A48FE">
                          <w:rPr>
                            <w:rFonts w:ascii="Calibri" w:eastAsia="Times New Roman" w:hAnsi="Calibri" w:cs="Times New Roman"/>
                            <w:lang w:eastAsia="tr-TR"/>
                          </w:rPr>
                          <w:t xml:space="preserve"> girer.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Yürütme</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MADDE 26</w:t>
                        </w:r>
                        <w:r w:rsidRPr="004A48FE">
                          <w:rPr>
                            <w:rFonts w:ascii="Calibri" w:eastAsia="Times New Roman" w:hAnsi="Calibri" w:cs="Times New Roman"/>
                            <w:lang w:eastAsia="tr-TR"/>
                          </w:rPr>
                          <w:t> – (1) Bu Yönetmelik hükümlerini Çalışma ve Sosyal Güvenlik Bakanı ile Çevre ve Şehircilik Bakanı müştereken yürütür.</w:t>
                        </w:r>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lang w:eastAsia="tr-TR"/>
                          </w:rPr>
                          <w:t> </w:t>
                        </w:r>
                      </w:p>
                      <w:p w:rsidR="004A48FE" w:rsidRPr="004A48FE" w:rsidRDefault="00CC7681" w:rsidP="004A48FE">
                        <w:pPr>
                          <w:spacing w:after="0" w:line="240" w:lineRule="atLeast"/>
                          <w:ind w:firstLine="567"/>
                          <w:jc w:val="both"/>
                          <w:rPr>
                            <w:rFonts w:ascii="Calibri" w:eastAsia="Times New Roman" w:hAnsi="Calibri" w:cs="Times New Roman"/>
                            <w:lang w:eastAsia="tr-TR"/>
                          </w:rPr>
                        </w:pPr>
                        <w:hyperlink r:id="rId7" w:history="1">
                          <w:r w:rsidR="004A48FE" w:rsidRPr="004A48FE">
                            <w:rPr>
                              <w:rFonts w:ascii="Lucida Sans Unicode" w:eastAsia="Times New Roman" w:hAnsi="Lucida Sans Unicode" w:cs="Lucida Sans Unicode"/>
                              <w:color w:val="000000"/>
                              <w:sz w:val="15"/>
                              <w:szCs w:val="15"/>
                              <w:lang w:eastAsia="tr-TR"/>
                            </w:rPr>
                            <w:t>Yönetmeliğin eklerini görmek için tıklayınız</w:t>
                          </w:r>
                        </w:hyperlink>
                      </w:p>
                      <w:p w:rsidR="004A48FE" w:rsidRPr="004A48FE" w:rsidRDefault="004A48FE" w:rsidP="004A48FE">
                        <w:pPr>
                          <w:spacing w:after="0" w:line="240" w:lineRule="atLeast"/>
                          <w:ind w:firstLine="567"/>
                          <w:jc w:val="both"/>
                          <w:rPr>
                            <w:rFonts w:ascii="Calibri" w:eastAsia="Times New Roman" w:hAnsi="Calibri" w:cs="Times New Roman"/>
                            <w:lang w:eastAsia="tr-TR"/>
                          </w:rPr>
                        </w:pPr>
                        <w:r w:rsidRPr="004A48FE">
                          <w:rPr>
                            <w:rFonts w:ascii="Calibri" w:eastAsia="Times New Roman" w:hAnsi="Calibri" w:cs="Times New Roman"/>
                            <w:b/>
                            <w:bCs/>
                            <w:lang w:eastAsia="tr-TR"/>
                          </w:rP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4A48FE" w:rsidRPr="004A48FE" w:rsidTr="004A48FE">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A48FE" w:rsidRPr="004A48FE" w:rsidRDefault="004A48FE" w:rsidP="004A48FE">
                              <w:pPr>
                                <w:spacing w:after="0" w:line="240" w:lineRule="auto"/>
                                <w:rPr>
                                  <w:rFonts w:ascii="Calibri" w:eastAsia="Times New Roman" w:hAnsi="Calibri" w:cs="Times New Roman"/>
                                  <w:lang w:eastAsia="tr-TR"/>
                                </w:rPr>
                              </w:pPr>
                              <w:r w:rsidRPr="004A48FE">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r w:rsidRPr="004A48FE">
                                <w:rPr>
                                  <w:rFonts w:ascii="Calibri" w:eastAsia="Times New Roman" w:hAnsi="Calibri" w:cs="Times New Roman"/>
                                  <w:b/>
                                  <w:bCs/>
                                  <w:lang w:eastAsia="tr-TR"/>
                                </w:rPr>
                                <w:t>Yönetmeliğin Yayımlandığı Resmî Gazete’nin</w:t>
                              </w:r>
                            </w:p>
                          </w:tc>
                        </w:tr>
                        <w:tr w:rsidR="004A48FE" w:rsidRPr="004A48FE" w:rsidTr="004A48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8FE" w:rsidRPr="004A48FE" w:rsidRDefault="004A48FE" w:rsidP="004A48FE">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r w:rsidRPr="004A48FE">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r w:rsidRPr="004A48FE">
                                <w:rPr>
                                  <w:rFonts w:ascii="Calibri" w:eastAsia="Times New Roman" w:hAnsi="Calibri" w:cs="Times New Roman"/>
                                  <w:b/>
                                  <w:bCs/>
                                  <w:lang w:eastAsia="tr-TR"/>
                                </w:rPr>
                                <w:t>Sayısı</w:t>
                              </w:r>
                            </w:p>
                          </w:tc>
                        </w:tr>
                        <w:tr w:rsidR="004A48FE" w:rsidRPr="004A48FE" w:rsidTr="004A48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8FE" w:rsidRPr="004A48FE" w:rsidRDefault="004A48FE" w:rsidP="004A48FE">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proofErr w:type="gramStart"/>
                              <w:r w:rsidRPr="004A48FE">
                                <w:rPr>
                                  <w:rFonts w:ascii="Calibri" w:eastAsia="Times New Roman" w:hAnsi="Calibri" w:cs="Times New Roman"/>
                                  <w:lang w:eastAsia="tr-TR"/>
                                </w:rPr>
                                <w:t>30/12/2013</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r w:rsidRPr="004A48FE">
                                <w:rPr>
                                  <w:rFonts w:ascii="Calibri" w:eastAsia="Times New Roman" w:hAnsi="Calibri" w:cs="Times New Roman"/>
                                  <w:lang w:eastAsia="tr-TR"/>
                                </w:rPr>
                                <w:t>28867 Mükerrer</w:t>
                              </w:r>
                            </w:p>
                          </w:tc>
                        </w:tr>
                        <w:tr w:rsidR="004A48FE" w:rsidRPr="004A48FE" w:rsidTr="004A48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8FE" w:rsidRPr="004A48FE" w:rsidRDefault="004A48FE" w:rsidP="004A48FE">
                              <w:pPr>
                                <w:spacing w:after="0" w:line="240" w:lineRule="auto"/>
                                <w:rPr>
                                  <w:rFonts w:ascii="Calibri" w:eastAsia="Times New Roman" w:hAnsi="Calibri" w:cs="Times New Roman"/>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r w:rsidRPr="004A48FE">
                                <w:rPr>
                                  <w:rFonts w:ascii="Calibri" w:eastAsia="Times New Roman" w:hAnsi="Calibri" w:cs="Times New Roman"/>
                                  <w:b/>
                                  <w:bCs/>
                                  <w:lang w:eastAsia="tr-TR"/>
                                </w:rPr>
                                <w:t>Yönetmelikte Değişiklik Yapan Yönetmeliklerin Yayımlandığı Resmî Gazetelerin</w:t>
                              </w:r>
                            </w:p>
                          </w:tc>
                        </w:tr>
                        <w:tr w:rsidR="004A48FE" w:rsidRPr="004A48FE" w:rsidTr="004A48FE">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48FE" w:rsidRPr="004A48FE" w:rsidRDefault="004A48FE" w:rsidP="004A48FE">
                              <w:pPr>
                                <w:spacing w:after="0" w:line="240" w:lineRule="auto"/>
                                <w:rPr>
                                  <w:rFonts w:ascii="Calibri" w:eastAsia="Times New Roman" w:hAnsi="Calibri" w:cs="Times New Roman"/>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r w:rsidRPr="004A48FE">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r w:rsidRPr="004A48FE">
                                <w:rPr>
                                  <w:rFonts w:ascii="Calibri" w:eastAsia="Times New Roman" w:hAnsi="Calibri" w:cs="Times New Roman"/>
                                  <w:b/>
                                  <w:bCs/>
                                  <w:lang w:eastAsia="tr-TR"/>
                                </w:rPr>
                                <w:t>Sayısı</w:t>
                              </w:r>
                            </w:p>
                          </w:tc>
                        </w:tr>
                        <w:tr w:rsidR="004A48FE" w:rsidRPr="004A48FE" w:rsidTr="004A48F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8FE" w:rsidRPr="004A48FE" w:rsidRDefault="004A48FE" w:rsidP="004A48FE">
                              <w:pPr>
                                <w:spacing w:after="0" w:line="240" w:lineRule="auto"/>
                                <w:rPr>
                                  <w:rFonts w:ascii="Calibri" w:eastAsia="Times New Roman" w:hAnsi="Calibri" w:cs="Times New Roman"/>
                                  <w:lang w:eastAsia="tr-TR"/>
                                </w:rPr>
                              </w:pPr>
                              <w:r w:rsidRPr="004A48FE">
                                <w:rPr>
                                  <w:rFonts w:ascii="Calibri" w:eastAsia="Times New Roman" w:hAnsi="Calibri" w:cs="Times New Roman"/>
                                  <w:lang w:eastAsia="tr-TR"/>
                                </w:rP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proofErr w:type="gramStart"/>
                              <w:r w:rsidRPr="004A48FE">
                                <w:rPr>
                                  <w:rFonts w:ascii="Calibri" w:eastAsia="Times New Roman" w:hAnsi="Calibri" w:cs="Times New Roman"/>
                                  <w:lang w:eastAsia="tr-TR"/>
                                </w:rPr>
                                <w:t>2/8/2016</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jc w:val="center"/>
                                <w:rPr>
                                  <w:rFonts w:ascii="Calibri" w:eastAsia="Times New Roman" w:hAnsi="Calibri" w:cs="Times New Roman"/>
                                  <w:lang w:eastAsia="tr-TR"/>
                                </w:rPr>
                              </w:pPr>
                              <w:r w:rsidRPr="004A48FE">
                                <w:rPr>
                                  <w:rFonts w:ascii="Calibri" w:eastAsia="Times New Roman" w:hAnsi="Calibri" w:cs="Times New Roman"/>
                                  <w:lang w:eastAsia="tr-TR"/>
                                </w:rPr>
                                <w:t>29789</w:t>
                              </w:r>
                            </w:p>
                          </w:tc>
                        </w:tr>
                        <w:tr w:rsidR="004A48FE" w:rsidRPr="004A48FE" w:rsidTr="004A48FE">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A48FE" w:rsidRPr="004A48FE" w:rsidRDefault="004A48FE" w:rsidP="004A48FE">
                              <w:pPr>
                                <w:spacing w:after="0" w:line="240" w:lineRule="auto"/>
                                <w:rPr>
                                  <w:rFonts w:ascii="Calibri" w:eastAsia="Times New Roman" w:hAnsi="Calibri" w:cs="Times New Roman"/>
                                  <w:lang w:eastAsia="tr-TR"/>
                                </w:rPr>
                              </w:pPr>
                              <w:r w:rsidRPr="004A48FE">
                                <w:rPr>
                                  <w:rFonts w:ascii="Calibri" w:eastAsia="Times New Roman" w:hAnsi="Calibri" w:cs="Times New Roman"/>
                                  <w:lang w:eastAsia="tr-TR"/>
                                </w:rP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4A48FE" w:rsidRPr="004A48FE" w:rsidRDefault="004A48FE" w:rsidP="004A48FE">
                              <w:pPr>
                                <w:spacing w:after="0" w:line="240" w:lineRule="auto"/>
                                <w:rPr>
                                  <w:rFonts w:ascii="Times New Roman" w:eastAsia="Times New Roman" w:hAnsi="Times New Roman" w:cs="Times New Roman"/>
                                  <w:sz w:val="24"/>
                                  <w:szCs w:val="24"/>
                                  <w:lang w:eastAsia="tr-TR"/>
                                </w:rPr>
                              </w:pPr>
                            </w:p>
                          </w:tc>
                        </w:tr>
                        <w:tr w:rsidR="004A48FE" w:rsidRPr="004A48FE" w:rsidTr="004A48FE">
                          <w:trPr>
                            <w:jc w:val="center"/>
                          </w:trPr>
                          <w:tc>
                            <w:tcPr>
                              <w:tcW w:w="46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A48FE" w:rsidRPr="004A48FE" w:rsidRDefault="004A48FE" w:rsidP="004A48FE">
                              <w:pPr>
                                <w:spacing w:after="0" w:line="240" w:lineRule="auto"/>
                                <w:rPr>
                                  <w:rFonts w:ascii="Calibri" w:eastAsia="Times New Roman" w:hAnsi="Calibri" w:cs="Times New Roman"/>
                                  <w:color w:val="1C283D"/>
                                  <w:lang w:eastAsia="tr-TR"/>
                                </w:rPr>
                              </w:pPr>
                              <w:r w:rsidRPr="004A48FE">
                                <w:rPr>
                                  <w:rFonts w:ascii="Calibri" w:eastAsia="Times New Roman" w:hAnsi="Calibri" w:cs="Times New Roman"/>
                                  <w:color w:val="1C283D"/>
                                  <w:lang w:eastAsia="tr-TR"/>
                                </w:rPr>
                                <w:t>3</w:t>
                              </w:r>
                            </w:p>
                          </w:tc>
                          <w:tc>
                            <w:tcPr>
                              <w:tcW w:w="360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4A48FE" w:rsidRPr="004A48FE" w:rsidRDefault="004A48FE" w:rsidP="004A48FE">
                              <w:pPr>
                                <w:spacing w:after="0" w:line="240" w:lineRule="auto"/>
                                <w:rPr>
                                  <w:rFonts w:ascii="Arial" w:eastAsia="Times New Roman" w:hAnsi="Arial" w:cs="Arial"/>
                                  <w:color w:val="1C283D"/>
                                  <w:sz w:val="15"/>
                                  <w:szCs w:val="15"/>
                                  <w:lang w:eastAsia="tr-TR"/>
                                </w:rPr>
                              </w:pPr>
                              <w:r w:rsidRPr="004A48FE">
                                <w:rPr>
                                  <w:rFonts w:ascii="Times New Roman" w:eastAsia="Times New Roman" w:hAnsi="Times New Roman" w:cs="Times New Roman"/>
                                  <w:sz w:val="24"/>
                                  <w:szCs w:val="24"/>
                                  <w:lang w:eastAsia="tr-TR"/>
                                </w:rPr>
                                <w:br/>
                              </w:r>
                            </w:p>
                          </w:tc>
                          <w:tc>
                            <w:tcPr>
                              <w:tcW w:w="0" w:type="auto"/>
                              <w:vAlign w:val="center"/>
                              <w:hideMark/>
                            </w:tcPr>
                            <w:p w:rsidR="004A48FE" w:rsidRPr="004A48FE" w:rsidRDefault="004A48FE" w:rsidP="004A48FE">
                              <w:pPr>
                                <w:spacing w:after="0" w:line="240" w:lineRule="auto"/>
                                <w:rPr>
                                  <w:rFonts w:ascii="Times New Roman" w:eastAsia="Times New Roman" w:hAnsi="Times New Roman" w:cs="Times New Roman"/>
                                  <w:sz w:val="20"/>
                                  <w:szCs w:val="20"/>
                                  <w:lang w:eastAsia="tr-TR"/>
                                </w:rPr>
                              </w:pPr>
                            </w:p>
                          </w:tc>
                        </w:tr>
                      </w:tbl>
                      <w:p w:rsidR="003B1F5B" w:rsidRPr="003B1F5B" w:rsidRDefault="003B1F5B" w:rsidP="004A48FE">
                        <w:pPr>
                          <w:spacing w:after="0" w:line="240" w:lineRule="auto"/>
                          <w:rPr>
                            <w:rFonts w:ascii="Times New Roman" w:eastAsia="Times New Roman" w:hAnsi="Times New Roman" w:cs="Times New Roman"/>
                            <w:b/>
                            <w:bCs/>
                            <w:color w:val="808080"/>
                            <w:sz w:val="24"/>
                            <w:szCs w:val="24"/>
                            <w:lang w:eastAsia="tr-TR"/>
                          </w:rPr>
                        </w:pPr>
                      </w:p>
                    </w:tc>
                  </w:tr>
                </w:tbl>
                <w:p w:rsidR="003B1F5B" w:rsidRPr="003B1F5B" w:rsidRDefault="003B1F5B" w:rsidP="003B1F5B">
                  <w:pPr>
                    <w:spacing w:after="0" w:line="240" w:lineRule="auto"/>
                    <w:jc w:val="center"/>
                    <w:rPr>
                      <w:rFonts w:ascii="Times New Roman" w:eastAsia="Times New Roman" w:hAnsi="Times New Roman" w:cs="Times New Roman"/>
                      <w:sz w:val="24"/>
                      <w:szCs w:val="24"/>
                      <w:lang w:eastAsia="tr-TR"/>
                    </w:rPr>
                  </w:pPr>
                </w:p>
              </w:tc>
            </w:tr>
          </w:tbl>
          <w:p w:rsidR="003B1F5B" w:rsidRPr="003B1F5B" w:rsidRDefault="003B1F5B" w:rsidP="003B1F5B">
            <w:pPr>
              <w:spacing w:after="0" w:line="240" w:lineRule="auto"/>
              <w:rPr>
                <w:rFonts w:ascii="Times New Roman" w:eastAsia="Times New Roman" w:hAnsi="Times New Roman" w:cs="Times New Roman"/>
                <w:sz w:val="24"/>
                <w:szCs w:val="24"/>
                <w:lang w:eastAsia="tr-TR"/>
              </w:rPr>
            </w:pPr>
          </w:p>
        </w:tc>
      </w:tr>
    </w:tbl>
    <w:p w:rsidR="00CF0DC0" w:rsidRPr="003B1F5B" w:rsidRDefault="00CF0DC0" w:rsidP="003B1F5B"/>
    <w:sectPr w:rsidR="00CF0DC0" w:rsidRPr="003B1F5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81" w:rsidRDefault="00CC7681" w:rsidP="00CF0DC0">
      <w:pPr>
        <w:spacing w:after="0" w:line="240" w:lineRule="auto"/>
      </w:pPr>
      <w:r>
        <w:separator/>
      </w:r>
    </w:p>
  </w:endnote>
  <w:endnote w:type="continuationSeparator" w:id="0">
    <w:p w:rsidR="00CC7681" w:rsidRDefault="00CC7681"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Lucida Sans Unicode">
    <w:panose1 w:val="020B0602030504020204"/>
    <w:charset w:val="A2"/>
    <w:family w:val="swiss"/>
    <w:pitch w:val="variable"/>
    <w:sig w:usb0="80000AFF" w:usb1="0000396B" w:usb2="00000000" w:usb3="00000000" w:csb0="000000B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81" w:rsidRDefault="00CC7681" w:rsidP="00CF0DC0">
      <w:pPr>
        <w:spacing w:after="0" w:line="240" w:lineRule="auto"/>
      </w:pPr>
      <w:r>
        <w:separator/>
      </w:r>
    </w:p>
  </w:footnote>
  <w:footnote w:type="continuationSeparator" w:id="0">
    <w:p w:rsidR="00CC7681" w:rsidRDefault="00CC7681"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3B1F5B"/>
    <w:rsid w:val="003C7EBE"/>
    <w:rsid w:val="004A48FE"/>
    <w:rsid w:val="00506E03"/>
    <w:rsid w:val="00573DDC"/>
    <w:rsid w:val="005F1287"/>
    <w:rsid w:val="006D0282"/>
    <w:rsid w:val="009C7749"/>
    <w:rsid w:val="009E3C24"/>
    <w:rsid w:val="00BF3403"/>
    <w:rsid w:val="00C86925"/>
    <w:rsid w:val="00CC7681"/>
    <w:rsid w:val="00CF0DC0"/>
    <w:rsid w:val="00D00BEF"/>
    <w:rsid w:val="00D92D5C"/>
    <w:rsid w:val="00E325A3"/>
    <w:rsid w:val="00EA1AEB"/>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vzuat.gov.tr/MevzuatMetin/yonetmelik/7.5.19193%20ek.do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6443</Words>
  <Characters>36726</Characters>
  <Application>Microsoft Office Word</Application>
  <DocSecurity>0</DocSecurity>
  <Lines>306</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2016-10-23T14:21:00Z</dcterms:created>
  <dcterms:modified xsi:type="dcterms:W3CDTF">2016-10-25T17:52:00Z</dcterms:modified>
</cp:coreProperties>
</file>